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0BD4A9">
      <w:pPr>
        <w:rPr>
          <w:rFonts w:ascii="Times New Roman" w:hAnsi="Times New Roman" w:cs="Times New Roman"/>
          <w:b/>
          <w:bCs/>
          <w:sz w:val="22"/>
        </w:rPr>
      </w:pPr>
      <w:r>
        <w:rPr>
          <w:rFonts w:ascii="Times New Roman" w:hAnsi="Times New Roman" w:cs="Times New Roman"/>
          <w:b/>
          <w:bCs/>
          <w:sz w:val="22"/>
        </w:rPr>
        <w:t>3GPP TSG-RAN WG2 Meeting #</w:t>
      </w:r>
      <w:r>
        <w:rPr>
          <w:rFonts w:ascii="Times New Roman" w:hAnsi="Times New Roman" w:cs="Times New Roman"/>
          <w:b/>
          <w:bCs/>
          <w:sz w:val="22"/>
          <w:lang w:val="en-GB"/>
        </w:rPr>
        <w:t>131bis</w:t>
      </w:r>
      <w:r>
        <w:rPr>
          <w:rFonts w:ascii="Times New Roman" w:hAnsi="Times New Roman" w:cs="Times New Roman"/>
          <w:b/>
          <w:bCs/>
          <w:sz w:val="22"/>
        </w:rPr>
        <w:tab/>
      </w:r>
      <w:r>
        <w:rPr>
          <w:rFonts w:ascii="Times New Roman" w:hAnsi="Times New Roman" w:cs="Times New Roman"/>
          <w:b/>
          <w:bCs/>
          <w:sz w:val="22"/>
        </w:rPr>
        <w:tab/>
      </w:r>
      <w:r>
        <w:rPr>
          <w:rFonts w:hint="eastAsia" w:ascii="Times New Roman" w:hAnsi="Times New Roman" w:cs="Times New Roman"/>
          <w:b/>
          <w:bCs/>
          <w:sz w:val="22"/>
        </w:rPr>
        <w:t xml:space="preserve">                                   </w:t>
      </w:r>
      <w:r>
        <w:rPr>
          <w:rFonts w:hint="eastAsia" w:ascii="Times New Roman" w:hAnsi="Times New Roman" w:cs="Times New Roman"/>
          <w:b/>
          <w:bCs/>
          <w:sz w:val="22"/>
          <w:lang w:val="en-US" w:eastAsia="zh-CN"/>
        </w:rPr>
        <w:t xml:space="preserve"> R2-2507393</w:t>
      </w:r>
    </w:p>
    <w:p w14:paraId="2EEA1E6E">
      <w:pPr>
        <w:rPr>
          <w:rFonts w:ascii="Times New Roman" w:hAnsi="Times New Roman" w:cs="Times New Roman"/>
          <w:b/>
          <w:bCs/>
          <w:sz w:val="22"/>
        </w:rPr>
      </w:pPr>
      <w:r>
        <w:rPr>
          <w:rFonts w:ascii="Times New Roman" w:hAnsi="Times New Roman" w:cs="Times New Roman"/>
          <w:b/>
          <w:bCs/>
          <w:sz w:val="22"/>
        </w:rPr>
        <w:t>Prague</w:t>
      </w:r>
      <w:r>
        <w:rPr>
          <w:rFonts w:ascii="Times New Roman" w:hAnsi="Times New Roman" w:cs="Times New Roman"/>
          <w:b/>
          <w:bCs/>
          <w:sz w:val="22"/>
          <w:lang w:val="en-GB"/>
        </w:rPr>
        <w:t xml:space="preserve">, </w:t>
      </w:r>
      <w:bookmarkStart w:id="0" w:name="_Hlk174044642"/>
      <w:r>
        <w:rPr>
          <w:rFonts w:ascii="Times New Roman" w:hAnsi="Times New Roman" w:cs="Times New Roman"/>
          <w:b/>
          <w:bCs/>
          <w:sz w:val="22"/>
        </w:rPr>
        <w:t>Czech Republic</w:t>
      </w:r>
      <w:r>
        <w:rPr>
          <w:rFonts w:ascii="Times New Roman" w:hAnsi="Times New Roman" w:cs="Times New Roman"/>
          <w:b/>
          <w:bCs/>
          <w:sz w:val="22"/>
          <w:lang w:val="en-GB"/>
        </w:rPr>
        <w:t>,</w:t>
      </w:r>
      <w:bookmarkEnd w:id="0"/>
      <w:r>
        <w:rPr>
          <w:rFonts w:ascii="Times New Roman" w:hAnsi="Times New Roman" w:cs="Times New Roman"/>
          <w:b/>
          <w:bCs/>
          <w:sz w:val="22"/>
          <w:lang w:val="en-GB"/>
        </w:rPr>
        <w:t xml:space="preserve"> 13th – </w:t>
      </w:r>
      <w:r>
        <w:rPr>
          <w:rFonts w:hint="eastAsia" w:ascii="Times New Roman" w:hAnsi="Times New Roman" w:cs="Times New Roman"/>
          <w:b/>
          <w:bCs/>
          <w:sz w:val="22"/>
          <w:lang w:val="en-GB"/>
        </w:rPr>
        <w:t>1</w:t>
      </w:r>
      <w:r>
        <w:rPr>
          <w:rFonts w:ascii="Times New Roman" w:hAnsi="Times New Roman" w:cs="Times New Roman"/>
          <w:b/>
          <w:bCs/>
          <w:sz w:val="22"/>
          <w:lang w:val="en-GB"/>
        </w:rPr>
        <w:t>7</w:t>
      </w:r>
      <w:r>
        <w:rPr>
          <w:rFonts w:hint="eastAsia" w:ascii="Times New Roman" w:hAnsi="Times New Roman" w:cs="Times New Roman"/>
          <w:b/>
          <w:bCs/>
          <w:sz w:val="22"/>
          <w:lang w:val="en-GB"/>
        </w:rPr>
        <w:t>t</w:t>
      </w:r>
      <w:r>
        <w:rPr>
          <w:rFonts w:ascii="Times New Roman" w:hAnsi="Times New Roman" w:cs="Times New Roman"/>
          <w:b/>
          <w:bCs/>
          <w:sz w:val="22"/>
          <w:lang w:val="en-GB"/>
        </w:rPr>
        <w:t xml:space="preserve">h </w:t>
      </w:r>
      <w:r>
        <w:rPr>
          <w:rFonts w:ascii="Times New Roman" w:hAnsi="Times New Roman" w:cs="Times New Roman"/>
          <w:b/>
          <w:bCs/>
          <w:sz w:val="22"/>
        </w:rPr>
        <w:t>Oct</w:t>
      </w:r>
      <w:r>
        <w:rPr>
          <w:rFonts w:ascii="Times New Roman" w:hAnsi="Times New Roman" w:cs="Times New Roman"/>
          <w:b/>
          <w:bCs/>
          <w:sz w:val="22"/>
          <w:lang w:val="en-GB"/>
        </w:rPr>
        <w:t>. 202</w:t>
      </w:r>
      <w:r>
        <w:rPr>
          <w:rFonts w:hint="eastAsia" w:ascii="Times New Roman" w:hAnsi="Times New Roman" w:cs="Times New Roman"/>
          <w:b/>
          <w:bCs/>
          <w:sz w:val="22"/>
          <w:lang w:val="en-GB"/>
        </w:rPr>
        <w:t>5</w:t>
      </w:r>
    </w:p>
    <w:p w14:paraId="669E1CED">
      <w:pPr>
        <w:rPr>
          <w:rFonts w:ascii="Times New Roman" w:hAnsi="Times New Roman" w:cs="Times New Roman"/>
          <w:b/>
          <w:bCs/>
          <w:sz w:val="22"/>
        </w:rPr>
      </w:pPr>
    </w:p>
    <w:p w14:paraId="5AC8AE6D">
      <w:pPr>
        <w:spacing w:after="0"/>
        <w:ind w:left="1984" w:hanging="1984"/>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5FD86EE0">
      <w:pPr>
        <w:spacing w:after="0"/>
        <w:ind w:left="1984" w:hanging="1984"/>
        <w:rPr>
          <w:rFonts w:hint="eastAsia" w:ascii="Times New Roman" w:hAnsi="Times New Roman" w:cs="Times New Roman" w:eastAsiaTheme="minorEastAsia"/>
          <w:b/>
          <w:sz w:val="24"/>
          <w:szCs w:val="24"/>
          <w:lang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rPr>
        <w:t>Discussion on general aspects for 6G</w:t>
      </w:r>
      <w:r>
        <w:rPr>
          <w:rFonts w:hint="eastAsia" w:ascii="Times New Roman" w:hAnsi="Times New Roman" w:cs="Times New Roman"/>
          <w:b/>
          <w:sz w:val="24"/>
          <w:szCs w:val="24"/>
          <w:lang w:val="en-US" w:eastAsia="zh-CN"/>
        </w:rPr>
        <w:t>R</w:t>
      </w:r>
    </w:p>
    <w:p w14:paraId="0D227B11">
      <w:pPr>
        <w:spacing w:after="0"/>
        <w:ind w:left="1984" w:hanging="1984"/>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ascii="Times New Roman" w:hAnsi="Times New Roman" w:cs="Times New Roman"/>
          <w:b/>
          <w:sz w:val="24"/>
          <w:szCs w:val="24"/>
        </w:rPr>
        <w:t>10.2</w:t>
      </w:r>
    </w:p>
    <w:p w14:paraId="7ED80008">
      <w:pPr>
        <w:spacing w:after="0"/>
        <w:ind w:left="1984" w:hanging="1984"/>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3F863056">
      <w:pPr>
        <w:pStyle w:val="2"/>
        <w:keepLines/>
        <w:numPr>
          <w:ilvl w:val="0"/>
          <w:numId w:val="3"/>
        </w:numPr>
        <w:pBdr>
          <w:top w:val="single" w:color="auto" w:sz="12" w:space="3"/>
        </w:pBdr>
        <w:tabs>
          <w:tab w:val="left" w:pos="420"/>
          <w:tab w:val="left" w:pos="63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szCs w:val="28"/>
          <w:lang w:val="en-US" w:eastAsia="zh-CN"/>
        </w:rPr>
        <w:t xml:space="preserve"> </w:t>
      </w:r>
      <w:r>
        <w:rPr>
          <w:rFonts w:ascii="Times New Roman" w:hAnsi="Times New Roman"/>
          <w:szCs w:val="28"/>
        </w:rPr>
        <w:t>Introduction</w:t>
      </w:r>
    </w:p>
    <w:p w14:paraId="19F92FC8">
      <w:pPr>
        <w:spacing w:before="120" w:beforeLines="50" w:after="120" w:afterLines="50" w:line="240" w:lineRule="auto"/>
        <w:rPr>
          <w:rFonts w:ascii="Times New Roman" w:hAnsi="Times New Roman" w:cs="Times New Roman"/>
        </w:rPr>
      </w:pPr>
      <w:bookmarkStart w:id="1" w:name="_Toc54284460"/>
      <w:r>
        <w:rPr>
          <w:rFonts w:ascii="Times New Roman" w:hAnsi="Times New Roman" w:cs="Times New Roman"/>
        </w:rPr>
        <w:t>This contribution discusses several fundamental aspects of 6G</w:t>
      </w:r>
      <w:r>
        <w:rPr>
          <w:rFonts w:hint="eastAsia" w:ascii="Times New Roman" w:hAnsi="Times New Roman" w:cs="Times New Roman"/>
          <w:lang w:val="en-US" w:eastAsia="zh-CN"/>
        </w:rPr>
        <w:t>R</w:t>
      </w:r>
      <w:r>
        <w:rPr>
          <w:rFonts w:ascii="Times New Roman" w:hAnsi="Times New Roman" w:cs="Times New Roman"/>
        </w:rPr>
        <w:t xml:space="preserve">, including overall design principles, support for new service, high-level architecture, and the user equipment (UE) capability framework. </w:t>
      </w:r>
      <w:r>
        <w:rPr>
          <w:rFonts w:hint="eastAsia" w:ascii="Times New Roman" w:hAnsi="Times New Roman" w:cs="Times New Roman"/>
        </w:rPr>
        <w:t>Based on the</w:t>
      </w:r>
      <w:r>
        <w:rPr>
          <w:rFonts w:ascii="Times New Roman" w:hAnsi="Times New Roman" w:cs="Times New Roman"/>
        </w:rPr>
        <w:t xml:space="preserve"> emerging requirements and use cases being identified </w:t>
      </w:r>
      <w:r>
        <w:rPr>
          <w:rFonts w:hint="eastAsia" w:ascii="Times New Roman" w:hAnsi="Times New Roman" w:cs="Times New Roman"/>
        </w:rPr>
        <w:t xml:space="preserve">by </w:t>
      </w:r>
      <w:r>
        <w:rPr>
          <w:rFonts w:ascii="Times New Roman" w:hAnsi="Times New Roman" w:cs="Times New Roman"/>
        </w:rPr>
        <w:t>3GPP SA1</w:t>
      </w:r>
      <w:r>
        <w:rPr>
          <w:rFonts w:hint="eastAsia" w:ascii="Times New Roman" w:hAnsi="Times New Roman" w:cs="Times New Roman"/>
        </w:rPr>
        <w:t xml:space="preserve"> </w:t>
      </w:r>
      <w:r>
        <w:rPr>
          <w:rFonts w:ascii="Times New Roman" w:hAnsi="Times New Roman" w:cs="Times New Roman"/>
        </w:rPr>
        <w:t>in TR 22.870</w:t>
      </w:r>
      <w:r>
        <w:rPr>
          <w:rFonts w:hint="eastAsia" w:ascii="Times New Roman" w:hAnsi="Times New Roman" w:cs="Times New Roman"/>
        </w:rPr>
        <w:t xml:space="preserve"> </w:t>
      </w:r>
      <w:r>
        <w:rPr>
          <w:rFonts w:hint="eastAsia" w:ascii="Times New Roman" w:hAnsi="Times New Roman" w:cs="Times New Roman"/>
          <w:lang w:val="en-US" w:eastAsia="zh-CN"/>
        </w:rPr>
        <w:t xml:space="preserve">[1] </w:t>
      </w:r>
      <w:r>
        <w:rPr>
          <w:rFonts w:hint="eastAsia" w:ascii="Times New Roman" w:hAnsi="Times New Roman" w:cs="Times New Roman"/>
        </w:rPr>
        <w:t xml:space="preserve">and the objectives outlined in the </w:t>
      </w:r>
      <w:r>
        <w:rPr>
          <w:rFonts w:hint="eastAsia" w:ascii="Times New Roman" w:hAnsi="Times New Roman" w:cs="Times New Roman"/>
          <w:lang w:val="en-US" w:eastAsia="zh-CN"/>
        </w:rPr>
        <w:t xml:space="preserve">newest </w:t>
      </w:r>
      <w:r>
        <w:rPr>
          <w:rFonts w:hint="eastAsia" w:ascii="Times New Roman" w:hAnsi="Times New Roman" w:cs="Times New Roman"/>
        </w:rPr>
        <w:t>Study on 6G Radio</w:t>
      </w:r>
      <w:r>
        <w:rPr>
          <w:rFonts w:hint="eastAsia" w:ascii="Times New Roman" w:hAnsi="Times New Roman" w:cs="Times New Roman"/>
          <w:lang w:val="en-US" w:eastAsia="zh-CN"/>
        </w:rPr>
        <w:t xml:space="preserve"> [3]</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the aim</w:t>
      </w:r>
      <w:r>
        <w:rPr>
          <w:rFonts w:ascii="Times New Roman" w:hAnsi="Times New Roman" w:cs="Times New Roman"/>
        </w:rPr>
        <w:t xml:space="preserve"> is to present a coherent overview of these </w:t>
      </w:r>
      <w:r>
        <w:rPr>
          <w:rFonts w:hint="eastAsia" w:ascii="Times New Roman" w:hAnsi="Times New Roman" w:cs="Times New Roman"/>
        </w:rPr>
        <w:t>topics</w:t>
      </w:r>
      <w:r>
        <w:rPr>
          <w:rFonts w:ascii="Times New Roman" w:hAnsi="Times New Roman" w:cs="Times New Roman"/>
        </w:rPr>
        <w:t xml:space="preserve"> and provide technical rationale along with initial proposals for 6G</w:t>
      </w:r>
      <w:r>
        <w:rPr>
          <w:rFonts w:hint="eastAsia" w:ascii="Times New Roman" w:hAnsi="Times New Roman" w:cs="Times New Roman"/>
          <w:lang w:val="en-US" w:eastAsia="zh-CN"/>
        </w:rPr>
        <w:t>R</w:t>
      </w:r>
      <w:r>
        <w:rPr>
          <w:rFonts w:ascii="Times New Roman" w:hAnsi="Times New Roman" w:cs="Times New Roman"/>
        </w:rPr>
        <w:t xml:space="preserve"> design.</w:t>
      </w:r>
    </w:p>
    <w:bookmarkEnd w:id="1"/>
    <w:p w14:paraId="07AACBA6">
      <w:pPr>
        <w:pStyle w:val="2"/>
        <w:keepLines/>
        <w:numPr>
          <w:ilvl w:val="0"/>
          <w:numId w:val="3"/>
        </w:numPr>
        <w:pBdr>
          <w:top w:val="single" w:color="auto" w:sz="12" w:space="3"/>
        </w:pBdr>
        <w:tabs>
          <w:tab w:val="left" w:pos="42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Discussion</w:t>
      </w:r>
    </w:p>
    <w:p w14:paraId="3E53576D">
      <w:pPr>
        <w:pStyle w:val="3"/>
        <w:numPr>
          <w:ilvl w:val="1"/>
          <w:numId w:val="4"/>
        </w:numPr>
        <w:tabs>
          <w:tab w:val="left" w:pos="420"/>
          <w:tab w:val="clear" w:pos="756"/>
        </w:tabs>
        <w:spacing w:before="180" w:after="120" w:line="240" w:lineRule="auto"/>
        <w:ind w:left="424" w:hanging="424"/>
        <w:rPr>
          <w:rFonts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Design </w:t>
      </w:r>
      <w:r>
        <w:rPr>
          <w:rFonts w:ascii="Times New Roman" w:hAnsi="Times New Roman" w:eastAsia="宋体" w:cs="Times New Roman"/>
          <w:sz w:val="24"/>
          <w:szCs w:val="24"/>
          <w:lang w:val="en-US" w:eastAsia="zh-CN"/>
        </w:rPr>
        <w:t>principles</w:t>
      </w:r>
      <w:r>
        <w:rPr>
          <w:rFonts w:hint="eastAsia" w:ascii="Times New Roman" w:hAnsi="Times New Roman" w:eastAsia="宋体" w:cs="Times New Roman"/>
          <w:sz w:val="24"/>
          <w:szCs w:val="24"/>
          <w:lang w:val="en-US" w:eastAsia="zh-CN"/>
        </w:rPr>
        <w:t xml:space="preserve"> for 6GR</w:t>
      </w:r>
    </w:p>
    <w:p w14:paraId="1E4DCC50">
      <w:pPr>
        <w:spacing w:before="120" w:beforeLines="50" w:after="120" w:afterLines="50" w:line="240" w:lineRule="auto"/>
        <w:rPr>
          <w:rFonts w:ascii="Times New Roman" w:hAnsi="Times New Roman" w:cs="Times New Roman"/>
        </w:rPr>
      </w:pPr>
      <w:r>
        <w:rPr>
          <w:rFonts w:ascii="Times New Roman" w:hAnsi="Times New Roman" w:cs="Times New Roman"/>
        </w:rPr>
        <w:t xml:space="preserve">As 6G requirements crystallize, two key design principles are identified </w:t>
      </w:r>
      <w:r>
        <w:rPr>
          <w:rFonts w:hint="eastAsia" w:ascii="Times New Roman" w:hAnsi="Times New Roman" w:cs="Times New Roman"/>
        </w:rPr>
        <w:t>for</w:t>
      </w:r>
      <w:r>
        <w:rPr>
          <w:rFonts w:ascii="Times New Roman" w:hAnsi="Times New Roman" w:cs="Times New Roman"/>
        </w:rPr>
        <w:t xml:space="preserve"> </w:t>
      </w:r>
      <w:r>
        <w:rPr>
          <w:rFonts w:hint="eastAsia" w:ascii="Times New Roman" w:hAnsi="Times New Roman" w:cs="Times New Roman"/>
          <w:lang w:val="en-US" w:eastAsia="zh-CN"/>
        </w:rPr>
        <w:t>6G</w:t>
      </w:r>
      <w:r>
        <w:rPr>
          <w:rFonts w:ascii="Times New Roman" w:hAnsi="Times New Roman" w:cs="Times New Roman"/>
        </w:rPr>
        <w:t>R architecture and protocol development: Modular design and On-demand functionality. These principles will help ensure the 6GR is flexible, scalable, and forward-compatible to accommodate a broad range of use cases and device types</w:t>
      </w:r>
      <w:r>
        <w:rPr>
          <w:rFonts w:hint="eastAsia" w:ascii="Times New Roman" w:hAnsi="Times New Roman" w:cs="Times New Roman"/>
        </w:rPr>
        <w:t xml:space="preserve"> </w:t>
      </w:r>
      <w:r>
        <w:rPr>
          <w:rFonts w:ascii="Times New Roman" w:hAnsi="Times New Roman" w:cs="Times New Roman"/>
        </w:rPr>
        <w:t>while avoiding unnecessary complexity.</w:t>
      </w:r>
    </w:p>
    <w:p w14:paraId="29A3D921">
      <w:pPr>
        <w:pStyle w:val="4"/>
        <w:spacing w:before="180" w:after="120" w:line="240" w:lineRule="auto"/>
        <w:ind w:left="901" w:hanging="901"/>
        <w:rPr>
          <w:rFonts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lang w:val="en-US" w:eastAsia="zh-CN"/>
        </w:rPr>
        <w:t xml:space="preserve">Modular </w:t>
      </w:r>
      <w:r>
        <w:rPr>
          <w:rFonts w:hint="eastAsia" w:ascii="Times New Roman" w:hAnsi="Times New Roman" w:eastAsia="宋体" w:cs="Times New Roman"/>
          <w:sz w:val="24"/>
          <w:szCs w:val="24"/>
          <w:lang w:val="en-US" w:eastAsia="zh-CN"/>
        </w:rPr>
        <w:t>A</w:t>
      </w:r>
      <w:r>
        <w:rPr>
          <w:rFonts w:ascii="Times New Roman" w:hAnsi="Times New Roman" w:eastAsia="宋体" w:cs="Times New Roman"/>
          <w:sz w:val="24"/>
          <w:szCs w:val="24"/>
          <w:lang w:val="en-US" w:eastAsia="zh-CN"/>
        </w:rPr>
        <w:t xml:space="preserve">rchitecture and </w:t>
      </w:r>
      <w:r>
        <w:rPr>
          <w:rFonts w:hint="eastAsia" w:ascii="Times New Roman" w:hAnsi="Times New Roman" w:eastAsia="宋体" w:cs="Times New Roman"/>
          <w:sz w:val="24"/>
          <w:szCs w:val="24"/>
          <w:lang w:val="en-US" w:eastAsia="zh-CN"/>
        </w:rPr>
        <w:t>P</w:t>
      </w:r>
      <w:r>
        <w:rPr>
          <w:rFonts w:ascii="Times New Roman" w:hAnsi="Times New Roman" w:eastAsia="宋体" w:cs="Times New Roman"/>
          <w:sz w:val="24"/>
          <w:szCs w:val="24"/>
          <w:lang w:val="en-US" w:eastAsia="zh-CN"/>
        </w:rPr>
        <w:t xml:space="preserve">rotocol </w:t>
      </w:r>
      <w:r>
        <w:rPr>
          <w:rFonts w:hint="eastAsia" w:ascii="Times New Roman" w:hAnsi="Times New Roman" w:eastAsia="宋体" w:cs="Times New Roman"/>
          <w:sz w:val="24"/>
          <w:szCs w:val="24"/>
          <w:lang w:val="en-US" w:eastAsia="zh-CN"/>
        </w:rPr>
        <w:t>D</w:t>
      </w:r>
      <w:r>
        <w:rPr>
          <w:rFonts w:ascii="Times New Roman" w:hAnsi="Times New Roman" w:eastAsia="宋体" w:cs="Times New Roman"/>
          <w:sz w:val="24"/>
          <w:szCs w:val="24"/>
          <w:lang w:val="en-US" w:eastAsia="zh-CN"/>
        </w:rPr>
        <w:t>esign</w:t>
      </w:r>
    </w:p>
    <w:p w14:paraId="0DCD8615">
      <w:pPr>
        <w:spacing w:before="120" w:beforeLines="50" w:after="120" w:afterLines="50" w:line="240" w:lineRule="auto"/>
        <w:rPr>
          <w:rFonts w:ascii="Times New Roman" w:hAnsi="Times New Roman" w:cs="Times New Roman"/>
          <w:szCs w:val="21"/>
        </w:rPr>
      </w:pPr>
      <w:r>
        <w:rPr>
          <w:rFonts w:ascii="Times New Roman" w:hAnsi="Times New Roman" w:cs="Times New Roman"/>
        </w:rPr>
        <w:t>The 6GR is expected to support a diverse set of services</w:t>
      </w:r>
      <w:r>
        <w:rPr>
          <w:rFonts w:hint="eastAsia" w:ascii="Times New Roman" w:hAnsi="Times New Roman" w:cs="Times New Roman"/>
        </w:rPr>
        <w:t>, types of devices</w:t>
      </w:r>
      <w:r>
        <w:rPr>
          <w:rFonts w:ascii="Times New Roman" w:hAnsi="Times New Roman" w:cs="Times New Roman"/>
        </w:rPr>
        <w:t xml:space="preserve"> and features (from traditional mobile broadband to new capabilities like integrated sensing and AI). A monolithic design would become unwieldy and inflexible in the face of such diversity. There is a need to structure the </w:t>
      </w:r>
      <w:r>
        <w:rPr>
          <w:rFonts w:hint="eastAsia" w:ascii="Times New Roman" w:hAnsi="Times New Roman" w:cs="Times New Roman"/>
          <w:lang w:val="en-US" w:eastAsia="zh-CN"/>
        </w:rPr>
        <w:t>6GR</w:t>
      </w:r>
      <w:r>
        <w:rPr>
          <w:rFonts w:ascii="Times New Roman" w:hAnsi="Times New Roman" w:cs="Times New Roman"/>
        </w:rPr>
        <w:t xml:space="preserve"> architecture and protocols into well-defined, self-contained modules. Each functional component (or protocol sublayer) should be as decoupled as possible, enabling independent development, evolution, and deployment. This modular approach would allow new functionalities to be introduced or updated with minimal impact on existing ones.</w:t>
      </w:r>
      <w:r>
        <w:rPr>
          <w:rFonts w:hint="eastAsia" w:ascii="Times New Roman" w:hAnsi="Times New Roman" w:cs="Times New Roman"/>
        </w:rPr>
        <w:t xml:space="preserve"> On other hand, a</w:t>
      </w:r>
      <w:r>
        <w:rPr>
          <w:rFonts w:ascii="Times New Roman" w:hAnsi="Times New Roman" w:cs="Times New Roman"/>
        </w:rPr>
        <w:t xml:space="preserve"> modular 6GR</w:t>
      </w:r>
      <w:r>
        <w:rPr>
          <w:rFonts w:hint="eastAsia" w:ascii="Times New Roman" w:hAnsi="Times New Roman" w:cs="Times New Roman"/>
        </w:rPr>
        <w:t xml:space="preserve"> </w:t>
      </w:r>
      <w:r>
        <w:rPr>
          <w:rFonts w:ascii="Times New Roman" w:hAnsi="Times New Roman" w:cs="Times New Roman"/>
        </w:rPr>
        <w:t>enables service decoupling and reusability</w:t>
      </w:r>
      <w:r>
        <w:rPr>
          <w:rFonts w:hint="eastAsia" w:ascii="Times New Roman" w:hAnsi="Times New Roman" w:cs="Times New Roman"/>
        </w:rPr>
        <w:t xml:space="preserve">, </w:t>
      </w:r>
      <w:r>
        <w:rPr>
          <w:rFonts w:ascii="Times New Roman" w:hAnsi="Times New Roman" w:cs="Times New Roman"/>
        </w:rPr>
        <w:t>dovetails with initiatives to define network functions as services</w:t>
      </w:r>
      <w:r>
        <w:rPr>
          <w:rFonts w:hint="eastAsia" w:ascii="Times New Roman" w:hAnsi="Times New Roman" w:cs="Times New Roman"/>
        </w:rPr>
        <w:t xml:space="preserve"> and</w:t>
      </w:r>
      <w:r>
        <w:rPr>
          <w:rFonts w:ascii="Times New Roman" w:hAnsi="Times New Roman" w:cs="Times New Roman"/>
        </w:rPr>
        <w:t xml:space="preserve"> adopt</w:t>
      </w:r>
      <w:r>
        <w:rPr>
          <w:rFonts w:hint="eastAsia" w:ascii="Times New Roman" w:hAnsi="Times New Roman" w:cs="Times New Roman"/>
        </w:rPr>
        <w:t>s</w:t>
      </w:r>
      <w:r>
        <w:rPr>
          <w:rFonts w:ascii="Times New Roman" w:hAnsi="Times New Roman" w:cs="Times New Roman"/>
        </w:rPr>
        <w:t xml:space="preserve"> service-based interfaces and programmability</w:t>
      </w:r>
      <w:r>
        <w:rPr>
          <w:rFonts w:hint="eastAsia" w:ascii="Times New Roman" w:hAnsi="Times New Roman" w:cs="Times New Roman"/>
        </w:rPr>
        <w:t xml:space="preserve"> </w:t>
      </w:r>
      <w:r>
        <w:rPr>
          <w:rFonts w:ascii="Times New Roman" w:hAnsi="Times New Roman" w:cs="Times New Roman"/>
        </w:rPr>
        <w:t>more easily</w:t>
      </w:r>
      <w:r>
        <w:rPr>
          <w:rFonts w:hint="eastAsia" w:ascii="Times New Roman" w:hAnsi="Times New Roman" w:cs="Times New Roman"/>
        </w:rPr>
        <w:t>. In summary, a modular architecture and protocol design is proposed as a guiding principle for 6GR</w:t>
      </w:r>
      <w:r>
        <w:rPr>
          <w:rFonts w:ascii="Times New Roman" w:hAnsi="Times New Roman" w:cs="Times New Roman"/>
        </w:rPr>
        <w:t>.</w:t>
      </w:r>
    </w:p>
    <w:p w14:paraId="209D84DC">
      <w:pPr>
        <w:spacing w:before="120" w:beforeLines="50" w:after="120" w:afterLines="50"/>
        <w:rPr>
          <w:rFonts w:ascii="Times New Roman" w:hAnsi="Times New Roman" w:cs="Times New Roman"/>
          <w:b/>
          <w:bCs/>
          <w:i/>
          <w:iCs/>
          <w:szCs w:val="21"/>
        </w:rPr>
      </w:pPr>
      <w:r>
        <w:rPr>
          <w:rFonts w:hint="eastAsia" w:ascii="Times New Roman" w:hAnsi="Times New Roman" w:cs="Times New Roman"/>
          <w:b/>
          <w:bCs/>
          <w:i/>
          <w:iCs/>
          <w:szCs w:val="21"/>
        </w:rPr>
        <w:t>Principles 1：Modular-based architecture and protocol designing for 6GR</w:t>
      </w:r>
    </w:p>
    <w:p w14:paraId="55FEAC5C">
      <w:pPr>
        <w:pStyle w:val="4"/>
        <w:spacing w:before="180" w:after="120" w:line="240" w:lineRule="auto"/>
        <w:ind w:left="901" w:hanging="901"/>
        <w:rPr>
          <w:rFonts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lang w:val="en-US" w:eastAsia="zh-CN"/>
        </w:rPr>
        <w:t xml:space="preserve">On-Demand Functionality </w:t>
      </w:r>
      <w:r>
        <w:rPr>
          <w:rFonts w:hint="eastAsia" w:ascii="Times New Roman" w:hAnsi="Times New Roman" w:eastAsia="宋体" w:cs="Times New Roman"/>
          <w:sz w:val="24"/>
          <w:szCs w:val="24"/>
          <w:lang w:val="en-US" w:eastAsia="zh-CN"/>
        </w:rPr>
        <w:t>D</w:t>
      </w:r>
      <w:r>
        <w:rPr>
          <w:rFonts w:ascii="Times New Roman" w:hAnsi="Times New Roman" w:eastAsia="宋体" w:cs="Times New Roman"/>
          <w:sz w:val="24"/>
          <w:szCs w:val="24"/>
          <w:lang w:val="en-US" w:eastAsia="zh-CN"/>
        </w:rPr>
        <w:t>esign</w:t>
      </w:r>
    </w:p>
    <w:p w14:paraId="2627275B">
      <w:pPr>
        <w:spacing w:before="120" w:beforeLines="50" w:after="120" w:afterLines="50" w:line="240" w:lineRule="auto"/>
        <w:rPr>
          <w:rFonts w:ascii="Times New Roman" w:hAnsi="Times New Roman" w:cs="Times New Roman"/>
        </w:rPr>
      </w:pPr>
      <w:r>
        <w:rPr>
          <w:rFonts w:ascii="Times New Roman" w:hAnsi="Times New Roman" w:cs="Times New Roman"/>
        </w:rPr>
        <w:t xml:space="preserve">Alongside modularization, </w:t>
      </w:r>
      <w:r>
        <w:rPr>
          <w:rFonts w:hint="eastAsia" w:ascii="Times New Roman" w:hAnsi="Times New Roman" w:cs="Times New Roman"/>
          <w:lang w:eastAsia="zh-CN"/>
        </w:rPr>
        <w:t>6GR</w:t>
      </w:r>
      <w:r>
        <w:rPr>
          <w:rFonts w:ascii="Times New Roman" w:hAnsi="Times New Roman" w:cs="Times New Roman"/>
        </w:rPr>
        <w:t xml:space="preserve"> should natively support on-demand activation of functionalities. Given the wide range of device capabilities and service requirements envisioned in 6G, not all network functions need to be active for every user or at all times. The current 5G system often requires UEs to signal extensive capabilities and the network to support a multitude of features regardless of whether they are utilized in a particular session. In 6G, it is desirable that RAN features (especially advanced or resource-intensive ones) can be enabled, configured, or instantiated dynamically when required, and remain dormant or omitted when not needed. This on-demand design principle applies both to control-plane procedures and user-plane functions</w:t>
      </w:r>
      <w:r>
        <w:rPr>
          <w:rFonts w:hint="eastAsia" w:ascii="Times New Roman" w:hAnsi="Times New Roman" w:cs="Times New Roman"/>
        </w:rPr>
        <w:t>.</w:t>
      </w:r>
    </w:p>
    <w:p w14:paraId="471D910B">
      <w:pPr>
        <w:pStyle w:val="13"/>
        <w:spacing w:line="240" w:lineRule="auto"/>
        <w:ind w:firstLine="0"/>
        <w:rPr>
          <w:rFonts w:ascii="Times New Roman" w:hAnsi="Times New Roman" w:cs="Times New Roman"/>
        </w:rPr>
      </w:pPr>
      <w:r>
        <w:rPr>
          <w:rFonts w:ascii="Times New Roman" w:hAnsi="Times New Roman" w:cs="Times New Roman"/>
        </w:rPr>
        <w:t xml:space="preserve">An on-demand functionality framework yields a more efficient and flexible RAN. Network resources (air interface, processing, signaling overhead) are only expended for capabilities in use to improve overall efficiency. </w:t>
      </w:r>
      <w:r>
        <w:rPr>
          <w:rFonts w:hint="eastAsia" w:ascii="Times New Roman" w:hAnsi="Times New Roman" w:cs="Times New Roman"/>
        </w:rPr>
        <w:t>O</w:t>
      </w:r>
      <w:r>
        <w:rPr>
          <w:rFonts w:ascii="Times New Roman" w:hAnsi="Times New Roman" w:cs="Times New Roman"/>
        </w:rPr>
        <w:t>n-demand functionality framework</w:t>
      </w:r>
      <w:r>
        <w:rPr>
          <w:rFonts w:hint="eastAsia" w:ascii="Times New Roman" w:hAnsi="Times New Roman" w:cs="Times New Roman"/>
        </w:rPr>
        <w:t xml:space="preserve"> </w:t>
      </w:r>
      <w:r>
        <w:rPr>
          <w:rFonts w:ascii="Times New Roman" w:hAnsi="Times New Roman" w:cs="Times New Roman"/>
        </w:rPr>
        <w:t xml:space="preserve">also allows the RAN to adapt rapidly to context changes. By designing protocols and interfaces that can negotiate and trigger functionalities on-the-fly (for example, on-demand channel state reporting, on-demand interference mitigation functions, etc.), the </w:t>
      </w:r>
      <w:r>
        <w:rPr>
          <w:rFonts w:hint="eastAsia" w:ascii="Times New Roman" w:hAnsi="Times New Roman" w:cs="Times New Roman"/>
          <w:lang w:eastAsia="zh-CN"/>
        </w:rPr>
        <w:t>6GR</w:t>
      </w:r>
      <w:r>
        <w:rPr>
          <w:rFonts w:ascii="Times New Roman" w:hAnsi="Times New Roman" w:cs="Times New Roman"/>
        </w:rPr>
        <w:t xml:space="preserve"> can achieve a high degree of customization and agility.</w:t>
      </w:r>
      <w:r>
        <w:rPr>
          <w:rFonts w:hint="eastAsia" w:ascii="Times New Roman" w:hAnsi="Times New Roman" w:cs="Times New Roman"/>
        </w:rPr>
        <w:t xml:space="preserve"> Consequently, </w:t>
      </w:r>
      <w:r>
        <w:rPr>
          <w:rFonts w:ascii="Times New Roman" w:hAnsi="Times New Roman" w:cs="Times New Roman"/>
        </w:rPr>
        <w:t xml:space="preserve">on-demand functionality is proposed as a core design principle for </w:t>
      </w:r>
      <w:r>
        <w:rPr>
          <w:rFonts w:hint="eastAsia" w:ascii="Times New Roman" w:hAnsi="Times New Roman" w:cs="Times New Roman"/>
          <w:lang w:eastAsia="zh-CN"/>
        </w:rPr>
        <w:t>6GR</w:t>
      </w:r>
      <w:r>
        <w:rPr>
          <w:rFonts w:hint="eastAsia" w:ascii="Times New Roman" w:hAnsi="Times New Roman" w:cs="Times New Roman"/>
        </w:rPr>
        <w:t xml:space="preserve">. </w:t>
      </w:r>
      <w:r>
        <w:rPr>
          <w:rFonts w:ascii="Times New Roman" w:hAnsi="Times New Roman" w:cs="Times New Roman"/>
        </w:rPr>
        <w:t>Combined with modular architecture, this will help keep the baseline RAN as lightweight as possible for simple use cases, while allowing more complex operations to be supported when required.</w:t>
      </w:r>
    </w:p>
    <w:p w14:paraId="54523BAC">
      <w:pPr>
        <w:spacing w:before="120" w:beforeLines="50" w:after="120" w:afterLines="50"/>
        <w:rPr>
          <w:rFonts w:hint="eastAsia" w:ascii="Times New Roman" w:hAnsi="Times New Roman" w:cs="Times New Roman" w:eastAsiaTheme="minorEastAsia"/>
          <w:b/>
          <w:bCs/>
          <w:i/>
          <w:iCs/>
          <w:szCs w:val="21"/>
          <w:lang w:eastAsia="zh-CN"/>
        </w:rPr>
      </w:pPr>
      <w:r>
        <w:rPr>
          <w:rFonts w:ascii="Times New Roman" w:hAnsi="Times New Roman" w:cs="Times New Roman"/>
          <w:b/>
          <w:bCs/>
          <w:i/>
          <w:iCs/>
          <w:szCs w:val="21"/>
        </w:rPr>
        <w:t>Principles</w:t>
      </w:r>
      <w:r>
        <w:rPr>
          <w:rFonts w:hint="eastAsia" w:ascii="Times New Roman" w:hAnsi="Times New Roman" w:cs="Times New Roman"/>
          <w:b/>
          <w:bCs/>
          <w:i/>
          <w:iCs/>
          <w:szCs w:val="21"/>
        </w:rPr>
        <w:t xml:space="preserve"> 2</w:t>
      </w:r>
      <w:r>
        <w:rPr>
          <w:rFonts w:ascii="Times New Roman" w:hAnsi="Times New Roman" w:cs="Times New Roman"/>
          <w:b/>
          <w:bCs/>
          <w:i/>
          <w:iCs/>
          <w:szCs w:val="21"/>
        </w:rPr>
        <w:t xml:space="preserve">: </w:t>
      </w:r>
      <w:r>
        <w:rPr>
          <w:rFonts w:hint="eastAsia" w:ascii="Times New Roman" w:hAnsi="Times New Roman" w:cs="Times New Roman"/>
          <w:b/>
          <w:bCs/>
          <w:i/>
          <w:iCs/>
          <w:szCs w:val="21"/>
        </w:rPr>
        <w:t xml:space="preserve">On-Demand Designing for advanced functionalities of </w:t>
      </w:r>
      <w:r>
        <w:rPr>
          <w:rFonts w:hint="eastAsia" w:ascii="Times New Roman" w:hAnsi="Times New Roman" w:cs="Times New Roman"/>
          <w:b/>
          <w:bCs/>
          <w:i/>
          <w:iCs/>
          <w:szCs w:val="21"/>
          <w:lang w:eastAsia="zh-CN"/>
        </w:rPr>
        <w:t>6GR</w:t>
      </w:r>
    </w:p>
    <w:p w14:paraId="71C805CE">
      <w:pPr>
        <w:pStyle w:val="3"/>
        <w:numPr>
          <w:ilvl w:val="1"/>
          <w:numId w:val="4"/>
        </w:numPr>
        <w:tabs>
          <w:tab w:val="left" w:pos="420"/>
          <w:tab w:val="clear" w:pos="756"/>
        </w:tabs>
        <w:spacing w:before="180" w:after="120" w:line="240" w:lineRule="auto"/>
        <w:ind w:left="424" w:hanging="424"/>
        <w:rPr>
          <w:rFonts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New services</w:t>
      </w:r>
    </w:p>
    <w:p w14:paraId="2193A540">
      <w:pPr>
        <w:pStyle w:val="13"/>
        <w:spacing w:line="240" w:lineRule="auto"/>
        <w:ind w:firstLine="0"/>
        <w:rPr>
          <w:rFonts w:ascii="Times New Roman" w:hAnsi="Times New Roman" w:cs="Times New Roman"/>
        </w:rPr>
      </w:pPr>
      <w:r>
        <w:rPr>
          <w:rFonts w:hint="eastAsia" w:ascii="Times New Roman" w:hAnsi="Times New Roman" w:cs="Times New Roman"/>
        </w:rPr>
        <w:t>Among the new service paradigms under consideration for 6G, Artificial Intelligence (AI)-enabled services and Integrated Sensing and Communication (ISAC) services stand out as transformative additions. In fact, the 3GPP RAN plenary has already recognized AI and sensing as new service categories to be included in the 6G requirements study (TR 38.914</w:t>
      </w:r>
      <w:r>
        <w:rPr>
          <w:rFonts w:hint="eastAsia" w:ascii="Times New Roman" w:hAnsi="Times New Roman" w:cs="Times New Roman"/>
          <w:lang w:val="en-US" w:eastAsia="zh-CN"/>
        </w:rPr>
        <w:t xml:space="preserve"> [2]</w:t>
      </w:r>
      <w:r>
        <w:rPr>
          <w:rFonts w:hint="eastAsia" w:ascii="Times New Roman" w:hAnsi="Times New Roman" w:cs="Times New Roman"/>
        </w:rPr>
        <w:t>) alongside other usage scenarios. These services impose unique demands on the RAN in terms of data, connectivity and latency.</w:t>
      </w:r>
    </w:p>
    <w:p w14:paraId="38375401">
      <w:pPr>
        <w:pStyle w:val="4"/>
        <w:numPr>
          <w:ilvl w:val="2"/>
          <w:numId w:val="5"/>
        </w:numPr>
        <w:spacing w:before="180" w:after="120" w:line="240" w:lineRule="auto"/>
        <w:ind w:left="901" w:hanging="901"/>
        <w:rPr>
          <w:rFonts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AI</w:t>
      </w:r>
    </w:p>
    <w:p w14:paraId="3D9E7657">
      <w:pPr>
        <w:spacing w:before="120" w:beforeLines="50" w:after="120" w:afterLines="50" w:line="240" w:lineRule="auto"/>
        <w:rPr>
          <w:rFonts w:ascii="Times New Roman" w:hAnsi="Times New Roman" w:cs="Times New Roman"/>
        </w:rPr>
      </w:pPr>
      <w:r>
        <w:rPr>
          <w:rFonts w:ascii="Times New Roman" w:hAnsi="Times New Roman" w:cs="Times New Roman"/>
        </w:rPr>
        <w:t xml:space="preserve">6G networks are expected to natively support AI-driven applications and network intelligence. This includes use cases like distributed machine learning, AI-assisted network optimization, and user-oriented AI services (e.g. AI agent communication, immersive AI-driven experiences). TR 22.870, for example, outlines numerous AI-related 6G use cases such as AI for connected vehicles, personalized AI for healthcare, collaborative AI agents, and more. A common thread in these scenarios is that the RAN will play an active role in collecting, processing, and delivering data for AI. </w:t>
      </w:r>
    </w:p>
    <w:p w14:paraId="032EC87E">
      <w:pPr>
        <w:pStyle w:val="13"/>
        <w:spacing w:line="240" w:lineRule="auto"/>
        <w:ind w:firstLine="0"/>
        <w:rPr>
          <w:rFonts w:ascii="Times New Roman" w:hAnsi="Times New Roman" w:cs="Times New Roman"/>
        </w:rPr>
      </w:pPr>
      <w:r>
        <w:rPr>
          <w:rFonts w:ascii="Times New Roman" w:hAnsi="Times New Roman" w:cs="Times New Roman"/>
        </w:rPr>
        <w:t>To support AI services, a 6G RAN node will need capabilities beyond traditional baseband processing. It must be able to ingest and distribute large data sets in real time. Notably, data will need to flow between RAN nodes and UEs, between different RAN nodes, and between RAN and core-network nodes in support of AI functionalities. For instance, an AI-driven application might require gathering high-resolution sensor data from many UEs (upwards link to RAN), aggregating or exchanging data between neighboring RAN nodes (for example, to get a holistic view in a smart city scenario), and forwarding relevant data to a core or edge cloud service for AI model processing (RAN to CN exchange). The RAN may also receive AI inferencing tasks or machine learning model updates from the core side that need to be distributed to UEs or other base stations. All of these imply the RAN should handle intensive data exchange across all interfaces in a reliable and timely manner, likely more so than in previous generations.</w:t>
      </w:r>
    </w:p>
    <w:p w14:paraId="34CE37EE">
      <w:pPr>
        <w:spacing w:before="120" w:beforeLines="50" w:after="120" w:afterLines="50" w:line="240" w:lineRule="auto"/>
        <w:rPr>
          <w:rFonts w:ascii="Times New Roman" w:hAnsi="Times New Roman" w:cs="Times New Roman"/>
          <w:b/>
          <w:bCs/>
          <w:i/>
          <w:iCs/>
          <w:szCs w:val="21"/>
        </w:rPr>
      </w:pPr>
      <w:r>
        <w:rPr>
          <w:rFonts w:ascii="Times New Roman" w:hAnsi="Times New Roman" w:cs="Times New Roman"/>
          <w:b/>
          <w:bCs/>
          <w:i/>
          <w:iCs/>
          <w:szCs w:val="21"/>
        </w:rPr>
        <w:t xml:space="preserve">Observation 1: The support of AI functionality in </w:t>
      </w:r>
      <w:r>
        <w:rPr>
          <w:rFonts w:hint="eastAsia" w:ascii="Times New Roman" w:hAnsi="Times New Roman" w:cs="Times New Roman"/>
          <w:b/>
          <w:bCs/>
          <w:i/>
          <w:iCs/>
          <w:szCs w:val="21"/>
          <w:lang w:eastAsia="zh-CN"/>
        </w:rPr>
        <w:t>6GR</w:t>
      </w:r>
      <w:r>
        <w:rPr>
          <w:rFonts w:ascii="Times New Roman" w:hAnsi="Times New Roman" w:cs="Times New Roman"/>
          <w:b/>
          <w:bCs/>
          <w:i/>
          <w:iCs/>
          <w:szCs w:val="21"/>
        </w:rPr>
        <w:t xml:space="preserve"> will require RAN nodes to exchange significant amounts of data across the Uu interface (RAN–UE), between RAN nodes (inter-base station), and between RAN and core network nodes. </w:t>
      </w:r>
    </w:p>
    <w:p w14:paraId="66447B1B">
      <w:pPr>
        <w:pStyle w:val="4"/>
        <w:numPr>
          <w:ilvl w:val="2"/>
          <w:numId w:val="5"/>
        </w:numPr>
        <w:spacing w:before="180" w:after="120" w:line="240" w:lineRule="auto"/>
        <w:ind w:left="901" w:hanging="901"/>
        <w:rPr>
          <w:rFonts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Sensing</w:t>
      </w:r>
    </w:p>
    <w:p w14:paraId="6C339CE3">
      <w:pPr>
        <w:spacing w:before="120" w:beforeLines="50" w:after="120" w:afterLines="50" w:line="240" w:lineRule="auto"/>
        <w:rPr>
          <w:rFonts w:ascii="Times New Roman" w:hAnsi="Times New Roman" w:cs="Times New Roman"/>
        </w:rPr>
      </w:pPr>
      <w:r>
        <w:rPr>
          <w:rFonts w:hint="eastAsia" w:ascii="Times New Roman" w:hAnsi="Times New Roman" w:cs="Times New Roman"/>
        </w:rPr>
        <w:t xml:space="preserve">Integrated Sensing and Communication (ISAC) is another pillar of 6G’s service landscape. In simple terms, 6G networks are anticipated to sense the environment – using radio signals to detect, localize, and characterize objects or happenings – in addition to providing communications. RAN nodes (base stations) can act as radar-like sensors by transmitting signals and analyzing echoes, and UEs might also participate in sensing by collecting or relaying measurements. The 3GPP RAN plenary has affirmed sensing as a key use case in the 6G study. </w:t>
      </w:r>
      <w:r>
        <w:rPr>
          <w:rFonts w:ascii="Times New Roman" w:hAnsi="Times New Roman" w:cs="Times New Roman"/>
        </w:rPr>
        <w:t>To enable these, 6G RAN nodes will embed sensing functions alongside communication functions.</w:t>
      </w:r>
    </w:p>
    <w:p w14:paraId="1316A7C1">
      <w:pPr>
        <w:spacing w:before="120" w:beforeLines="50" w:after="120" w:afterLines="50" w:line="240" w:lineRule="auto"/>
        <w:rPr>
          <w:rFonts w:ascii="Times New Roman" w:hAnsi="Times New Roman" w:cs="Times New Roman"/>
        </w:rPr>
      </w:pPr>
      <w:r>
        <w:rPr>
          <w:rFonts w:ascii="Times New Roman" w:hAnsi="Times New Roman" w:cs="Times New Roman"/>
        </w:rPr>
        <w:t>Realizing sensing services imposes new demands on the RAN infrastructure and protocols. A 6G base station</w:t>
      </w:r>
      <w:r>
        <w:rPr>
          <w:rFonts w:hint="eastAsia" w:ascii="Times New Roman" w:hAnsi="Times New Roman" w:cs="Times New Roman"/>
        </w:rPr>
        <w:t xml:space="preserve"> </w:t>
      </w:r>
      <w:r>
        <w:rPr>
          <w:rFonts w:ascii="Times New Roman" w:hAnsi="Times New Roman" w:cs="Times New Roman"/>
        </w:rPr>
        <w:t>would need to transmit specialized waveforms or signals for sensing and process the reflections or feedback. It may also coordinate with other RAN nodes to perform multi-static sensing. Indeed, various sensing deployment modes are being considered – including monostatic (single node transceiving) and bistatic configurations involving multiple Transmit/Receive Points (TRPs) and UEs. This means RAN-to-RAN communication could be leveraged to exchange sensing information or cross-synchronize sensing signals. Additionally, results of sensing (raw or processed data about the environment) might be sent from the RAN to the core network or application servers for further analysis or to offer sensing-as-a-service to third parties. Like AI, the sensing function will generate new data flows in the network: uplink (UE reports or echoes), downlink (probe signals, control), and laterally between nodes (joint processing of sensing data).</w:t>
      </w:r>
    </w:p>
    <w:p w14:paraId="672E512E">
      <w:pPr>
        <w:spacing w:before="120" w:beforeLines="50" w:after="120" w:afterLines="50" w:line="240" w:lineRule="auto"/>
        <w:rPr>
          <w:rFonts w:ascii="Times New Roman" w:hAnsi="Times New Roman" w:cs="Times New Roman"/>
          <w:b/>
          <w:bCs/>
          <w:i/>
          <w:iCs/>
          <w:szCs w:val="21"/>
        </w:rPr>
      </w:pPr>
      <w:r>
        <w:rPr>
          <w:rFonts w:ascii="Times New Roman" w:hAnsi="Times New Roman" w:cs="Times New Roman"/>
          <w:b/>
          <w:bCs/>
          <w:i/>
          <w:iCs/>
          <w:szCs w:val="21"/>
        </w:rPr>
        <w:t xml:space="preserve">Observation 2: The support of sensing functionality in </w:t>
      </w:r>
      <w:r>
        <w:rPr>
          <w:rFonts w:hint="eastAsia" w:ascii="Times New Roman" w:hAnsi="Times New Roman" w:cs="Times New Roman"/>
          <w:b/>
          <w:bCs/>
          <w:i/>
          <w:iCs/>
          <w:szCs w:val="21"/>
          <w:lang w:eastAsia="zh-CN"/>
        </w:rPr>
        <w:t>6GR</w:t>
      </w:r>
      <w:r>
        <w:rPr>
          <w:rFonts w:ascii="Times New Roman" w:hAnsi="Times New Roman" w:cs="Times New Roman"/>
          <w:b/>
          <w:bCs/>
          <w:i/>
          <w:iCs/>
          <w:szCs w:val="21"/>
        </w:rPr>
        <w:t xml:space="preserve"> will similarly require extensive data exchange between RAN nodes and UEs, among RAN nodes themselves, and between RAN and core network entities.</w:t>
      </w:r>
    </w:p>
    <w:p w14:paraId="76ED4925">
      <w:pPr>
        <w:pStyle w:val="3"/>
        <w:numPr>
          <w:ilvl w:val="1"/>
          <w:numId w:val="4"/>
        </w:numPr>
        <w:tabs>
          <w:tab w:val="left" w:pos="420"/>
          <w:tab w:val="clear" w:pos="756"/>
        </w:tabs>
        <w:spacing w:before="180" w:after="120" w:line="240" w:lineRule="auto"/>
        <w:ind w:left="424" w:hanging="424"/>
        <w:rPr>
          <w:rFonts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6G RAN </w:t>
      </w:r>
      <w:r>
        <w:rPr>
          <w:rFonts w:hint="eastAsia" w:ascii="Times New Roman" w:hAnsi="Times New Roman" w:eastAsia="宋体" w:cs="Times New Roman"/>
          <w:sz w:val="24"/>
          <w:szCs w:val="24"/>
          <w:lang w:eastAsia="en-GB"/>
        </w:rPr>
        <w:t>Architecture</w:t>
      </w:r>
    </w:p>
    <w:p w14:paraId="081BFED1">
      <w:pPr>
        <w:spacing w:before="120" w:beforeLines="50" w:after="120" w:afterLines="50" w:line="240" w:lineRule="auto"/>
        <w:rPr>
          <w:rFonts w:ascii="Times New Roman" w:hAnsi="Times New Roman" w:cs="Times New Roman"/>
        </w:rPr>
      </w:pPr>
      <w:r>
        <w:rPr>
          <w:rFonts w:hint="eastAsia" w:ascii="Times New Roman" w:hAnsi="Times New Roman" w:cs="Times New Roman"/>
        </w:rPr>
        <w:t>A number of guiding architecture requirements were agreed at RAN Plenary #109. In particular, it has been agreed that “</w:t>
      </w:r>
      <w:r>
        <w:rPr>
          <w:rFonts w:hint="eastAsia" w:ascii="Times New Roman" w:hAnsi="Times New Roman" w:cs="Times New Roman"/>
          <w:i/>
          <w:iCs/>
        </w:rPr>
        <w:t>the 6G RAN architecture shall allow for control plane and user plane separation</w:t>
      </w:r>
      <w:r>
        <w:rPr>
          <w:rFonts w:hint="eastAsia" w:ascii="Times New Roman" w:hAnsi="Times New Roman" w:cs="Times New Roman"/>
        </w:rPr>
        <w:t xml:space="preserve">.” As in the figure 1, </w:t>
      </w:r>
      <w:r>
        <w:rPr>
          <w:rFonts w:ascii="Times New Roman" w:hAnsi="Times New Roman" w:cs="Times New Roman"/>
        </w:rPr>
        <w:t xml:space="preserve">5G RAN (NR) architecture introduced a functional </w:t>
      </w:r>
      <w:r>
        <w:rPr>
          <w:rFonts w:hint="eastAsia" w:ascii="Times New Roman" w:hAnsi="Times New Roman" w:cs="Times New Roman"/>
        </w:rPr>
        <w:t xml:space="preserve">separation </w:t>
      </w:r>
      <w:r>
        <w:rPr>
          <w:rFonts w:ascii="Times New Roman" w:hAnsi="Times New Roman" w:cs="Times New Roman"/>
        </w:rPr>
        <w:t>in the gNB: a Central Unit (CU) and Distributed Unit (DU)</w:t>
      </w:r>
      <w:r>
        <w:rPr>
          <w:rFonts w:hint="eastAsia" w:ascii="Times New Roman" w:hAnsi="Times New Roman" w:cs="Times New Roman"/>
        </w:rPr>
        <w:t xml:space="preserve">, and the CU itself is further subdivided into a Control-Plane part (CU-CP) and User-Plane part (CU-UP) for the gNB. Effectively, 5G RAN distributes RAN functions across three logical nodes (CU-CP, CU-UP, DU) to allow some degree of centralization and separation of concerns. However </w:t>
      </w:r>
      <w:r>
        <w:rPr>
          <w:rFonts w:ascii="Times New Roman" w:hAnsi="Times New Roman" w:cs="Times New Roman"/>
        </w:rPr>
        <w:t xml:space="preserve">the </w:t>
      </w:r>
      <w:r>
        <w:rPr>
          <w:rFonts w:hint="eastAsia" w:ascii="Times New Roman" w:hAnsi="Times New Roman" w:cs="Times New Roman"/>
        </w:rPr>
        <w:t xml:space="preserve">case </w:t>
      </w:r>
      <w:r>
        <w:rPr>
          <w:rFonts w:ascii="Times New Roman" w:hAnsi="Times New Roman" w:cs="Times New Roman"/>
        </w:rPr>
        <w:t xml:space="preserve">of </w:t>
      </w:r>
      <w:r>
        <w:rPr>
          <w:rFonts w:hint="eastAsia" w:ascii="Times New Roman" w:hAnsi="Times New Roman" w:cs="Times New Roman"/>
        </w:rPr>
        <w:t xml:space="preserve">three </w:t>
      </w:r>
      <w:r>
        <w:rPr>
          <w:rFonts w:ascii="Times New Roman" w:hAnsi="Times New Roman" w:cs="Times New Roman"/>
        </w:rPr>
        <w:t>logical entities increases system complexity</w:t>
      </w:r>
      <w:r>
        <w:rPr>
          <w:rFonts w:hint="eastAsia" w:ascii="Times New Roman" w:hAnsi="Times New Roman" w:cs="Times New Roman"/>
        </w:rPr>
        <w:t xml:space="preserve"> and the case of two logical entities (CU and DU) only partially achieves CP/UP separation.</w:t>
      </w:r>
    </w:p>
    <w:p w14:paraId="350B3A78">
      <w:pPr>
        <w:spacing w:before="120" w:beforeLines="50" w:after="120" w:afterLines="50" w:line="240" w:lineRule="auto"/>
        <w:rPr>
          <w:rFonts w:ascii="Times New Roman" w:hAnsi="Times New Roman" w:cs="Times New Roman"/>
        </w:rPr>
      </w:pPr>
      <w:r>
        <w:rPr>
          <w:rFonts w:hint="eastAsia" w:ascii="Times New Roman" w:hAnsi="Times New Roman" w:cs="Times New Roman"/>
        </w:rPr>
        <w:t xml:space="preserve">For </w:t>
      </w:r>
      <w:r>
        <w:rPr>
          <w:rFonts w:ascii="Times New Roman" w:hAnsi="Times New Roman" w:cs="Times New Roman"/>
        </w:rPr>
        <w:t>clean</w:t>
      </w:r>
      <w:r>
        <w:rPr>
          <w:rFonts w:hint="eastAsia" w:ascii="Times New Roman" w:hAnsi="Times New Roman" w:cs="Times New Roman"/>
        </w:rPr>
        <w:t>er</w:t>
      </w:r>
      <w:r>
        <w:rPr>
          <w:rFonts w:ascii="Times New Roman" w:hAnsi="Times New Roman" w:cs="Times New Roman"/>
        </w:rPr>
        <w:t xml:space="preserve"> CP/UP separation</w:t>
      </w:r>
      <w:r>
        <w:rPr>
          <w:rFonts w:hint="eastAsia" w:ascii="Times New Roman" w:hAnsi="Times New Roman" w:cs="Times New Roman"/>
        </w:rPr>
        <w:t>, a more streamlined architecture with two primary RAN nodes could be considered: a CP node and a UP node as illustrated in figure 2. In one possible realization, a 6G base station could be functionally split such that all control-plane functions reside in a dedicated CP node, while all user-plane functions reside in a dedicated UP node. The CP node would handle RAN control protocols (RRC signaling, connection management, mobility control, radio resource allocation decisions, etc.), and the UP node would handle the data transport (PDCP-user, user plane RLC/MAC, scheduling execution, etc.). This approach would effectively implement a full control/user plane separation within the RAN architecture.</w:t>
      </w:r>
    </w:p>
    <w:p w14:paraId="0ACEDD52">
      <w:pPr>
        <w:spacing w:before="120" w:beforeLines="50" w:after="120" w:afterLines="50" w:line="360" w:lineRule="auto"/>
        <w:ind w:hanging="10"/>
        <w:jc w:val="left"/>
        <w:rPr>
          <w:rFonts w:ascii="Times New Roman" w:hAnsi="Times New Roman" w:cs="Times New Roman"/>
        </w:rPr>
      </w:pPr>
      <w:r>
        <mc:AlternateContent>
          <mc:Choice Requires="wps">
            <w:drawing>
              <wp:anchor distT="0" distB="0" distL="114300" distR="114300" simplePos="0" relativeHeight="251659264" behindDoc="0" locked="0" layoutInCell="1" allowOverlap="1">
                <wp:simplePos x="0" y="0"/>
                <wp:positionH relativeFrom="column">
                  <wp:posOffset>2826385</wp:posOffset>
                </wp:positionH>
                <wp:positionV relativeFrom="paragraph">
                  <wp:posOffset>1178560</wp:posOffset>
                </wp:positionV>
                <wp:extent cx="416560" cy="406400"/>
                <wp:effectExtent l="6350" t="15240" r="19050" b="20320"/>
                <wp:wrapNone/>
                <wp:docPr id="1" name="右箭头 1"/>
                <wp:cNvGraphicFramePr/>
                <a:graphic xmlns:a="http://schemas.openxmlformats.org/drawingml/2006/main">
                  <a:graphicData uri="http://schemas.microsoft.com/office/word/2010/wordprocessingShape">
                    <wps:wsp>
                      <wps:cNvSpPr/>
                      <wps:spPr>
                        <a:xfrm>
                          <a:off x="3945255" y="7205980"/>
                          <a:ext cx="416560" cy="406400"/>
                        </a:xfrm>
                        <a:prstGeom prst="right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222.55pt;margin-top:92.8pt;height:32pt;width:32.8pt;z-index:251659264;v-text-anchor:middle;mso-width-relative:page;mso-height-relative:page;" fillcolor="#5B9BD5 [3204]" filled="t" stroked="t" coordsize="21600,21600" o:gfxdata="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LrABMNoAAAALAQAADwAAAAAAAAABACAAAAAiAAAAZHJzL2Rvd25yZXYueG1sUEsBAhQA&#10;FAAAAAgAh07iQGLru7KbAgAAKgUAAA4AAAAAAAAAAQAgAAAAKQEAAGRycy9lMm9Eb2MueG1sUEsF&#10;BgAAAAAGAAYAWQEAADYGAAAAAA==&#10;" adj="11064,5400">
                <v:fill on="t" focussize="0,0"/>
                <v:stroke weight="1pt" color="#2E75B6 [2404]" miterlimit="8" joinstyle="miter"/>
                <v:imagedata o:title=""/>
                <o:lock v:ext="edit" aspectratio="f"/>
              </v:shape>
            </w:pict>
          </mc:Fallback>
        </mc:AlternateContent>
      </w:r>
      <w:r>
        <w:object>
          <v:shape id="_x0000_i1025" o:spt="75" type="#_x0000_t75" style="height:142.8pt;width:212.95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r>
        <w:rPr>
          <w:rFonts w:hint="eastAsia"/>
        </w:rPr>
        <w:t xml:space="preserve">         </w:t>
      </w:r>
      <w:r>
        <w:rPr>
          <w:rFonts w:ascii="Times New Roman" w:hAnsi="Times New Roman" w:cs="Times New Roman"/>
        </w:rPr>
        <w:object>
          <v:shape id="_x0000_i1026" o:spt="75" type="#_x0000_t75" style="height:69.1pt;width:200.6pt;" o:ole="t" filled="f" o:preferrelative="t" stroked="f" coordsize="21600,21600">
            <v:path/>
            <v:fill on="f" focussize="0,0"/>
            <v:stroke on="f"/>
            <v:imagedata r:id="rId7" o:title=""/>
            <o:lock v:ext="edit" aspectratio="f"/>
            <w10:wrap type="none"/>
            <w10:anchorlock/>
          </v:shape>
          <o:OLEObject Type="Embed" ProgID="Visio.Drawing.15" ShapeID="_x0000_i1026" DrawAspect="Content" ObjectID="_1468075726" r:id="rId6">
            <o:LockedField>false</o:LockedField>
          </o:OLEObject>
        </w:object>
      </w:r>
    </w:p>
    <w:p w14:paraId="3D0D5075">
      <w:pPr>
        <w:keepNext w:val="0"/>
        <w:spacing w:before="0" w:after="0" w:afterLines="50"/>
        <w:outlineLvl w:val="9"/>
        <w:rPr>
          <w:rFonts w:ascii="Times New Roman" w:hAnsi="Times New Roman" w:cs="Times New Roman"/>
        </w:rPr>
      </w:pPr>
      <w:r>
        <w:rPr>
          <w:rFonts w:hint="eastAsia" w:ascii="Times New Roman" w:hAnsi="Times New Roman" w:cs="Times New Roman"/>
          <w:i/>
          <w:iCs/>
          <w:sz w:val="20"/>
          <w:szCs w:val="21"/>
        </w:rPr>
        <w:t>Figure 1: 5G RAN architecture for function separation</w:t>
      </w:r>
      <w:r>
        <w:rPr>
          <w:rFonts w:hint="eastAsia"/>
        </w:rPr>
        <w:t xml:space="preserve"> </w:t>
      </w:r>
      <w:r>
        <w:rPr>
          <w:rFonts w:hint="eastAsia"/>
          <w:lang w:val="en-US" w:eastAsia="zh-CN"/>
        </w:rPr>
        <w:t xml:space="preserve">    </w:t>
      </w:r>
      <w:r>
        <w:rPr>
          <w:rFonts w:hint="eastAsia" w:ascii="Times New Roman" w:hAnsi="Times New Roman" w:cs="Times New Roman"/>
          <w:i/>
          <w:iCs/>
          <w:sz w:val="20"/>
          <w:szCs w:val="21"/>
        </w:rPr>
        <w:t xml:space="preserve">Figure 2: </w:t>
      </w:r>
      <w:r>
        <w:rPr>
          <w:rFonts w:ascii="Times New Roman" w:hAnsi="Times New Roman" w:cs="Times New Roman"/>
          <w:i/>
          <w:iCs/>
          <w:sz w:val="20"/>
          <w:szCs w:val="21"/>
        </w:rPr>
        <w:t>6</w:t>
      </w:r>
      <w:r>
        <w:rPr>
          <w:rFonts w:hint="eastAsia" w:ascii="Times New Roman" w:hAnsi="Times New Roman" w:cs="Times New Roman"/>
          <w:i/>
          <w:iCs/>
          <w:sz w:val="20"/>
          <w:szCs w:val="21"/>
        </w:rPr>
        <w:t>G RAN architecture for CP/UP separation</w:t>
      </w:r>
    </w:p>
    <w:p w14:paraId="42D45EC9">
      <w:pPr>
        <w:spacing w:before="0" w:beforeLines="100" w:after="120" w:afterLines="50" w:line="240" w:lineRule="auto"/>
        <w:rPr>
          <w:rFonts w:ascii="Times New Roman" w:hAnsi="Times New Roman" w:cs="Times New Roman"/>
        </w:rPr>
      </w:pPr>
      <w:r>
        <w:rPr>
          <w:rFonts w:hint="eastAsia" w:ascii="Times New Roman" w:hAnsi="Times New Roman" w:cs="Times New Roman"/>
        </w:rPr>
        <w:t>Beyond the traditional user plane (which primarily carries end-user communications), 6G will introduce new categories of data as discussed (e.g. sensing data, AI model data, etc.). The RAN will be not just forwarding end-user IP payloads, but also handle direct data exchanges between RAN and UE, between RAN nodes and between RAN and other network entities as required by services. The 6G UP node could incorporate an expanded “data plane” functionality to support these emerging data flows which will</w:t>
      </w:r>
      <w:r>
        <w:rPr>
          <w:rFonts w:ascii="Times New Roman" w:hAnsi="Times New Roman" w:cs="Times New Roman"/>
        </w:rPr>
        <w:t xml:space="preserve"> effectively add a </w:t>
      </w:r>
      <w:r>
        <w:rPr>
          <w:rFonts w:ascii="Times New Roman" w:hAnsi="Times New Roman" w:cs="Times New Roman"/>
          <w:i/>
          <w:iCs/>
        </w:rPr>
        <w:t>flexible data routing layer</w:t>
      </w:r>
      <w:r>
        <w:rPr>
          <w:rFonts w:ascii="Times New Roman" w:hAnsi="Times New Roman" w:cs="Times New Roman"/>
        </w:rPr>
        <w:t xml:space="preserve"> within the RAN architecture to accommodate service-specific data dissemination (distinct from standard user payload forwarding).</w:t>
      </w:r>
    </w:p>
    <w:p w14:paraId="7F6E3CF4">
      <w:pPr>
        <w:spacing w:before="120" w:beforeLines="50" w:after="120" w:afterLines="50" w:line="240" w:lineRule="auto"/>
        <w:rPr>
          <w:rFonts w:ascii="Times New Roman" w:hAnsi="Times New Roman" w:cs="Times New Roman"/>
          <w:b/>
          <w:bCs/>
          <w:i/>
          <w:iCs/>
          <w:szCs w:val="21"/>
        </w:rPr>
      </w:pPr>
      <w:r>
        <w:rPr>
          <w:rFonts w:ascii="Times New Roman" w:hAnsi="Times New Roman" w:cs="Times New Roman"/>
          <w:b/>
          <w:bCs/>
          <w:i/>
          <w:iCs/>
          <w:szCs w:val="21"/>
        </w:rPr>
        <w:t>Proposal 1: In the 6G RAN architecture, adopt a clear control plane (CP) and user plane (UP) separation by defining two main</w:t>
      </w:r>
      <w:bookmarkStart w:id="2" w:name="_GoBack"/>
      <w:bookmarkEnd w:id="2"/>
      <w:r>
        <w:rPr>
          <w:rFonts w:ascii="Times New Roman" w:hAnsi="Times New Roman" w:cs="Times New Roman"/>
          <w:b/>
          <w:bCs/>
          <w:i/>
          <w:iCs/>
          <w:szCs w:val="21"/>
        </w:rPr>
        <w:t xml:space="preserve"> RAN logical nodes – a CP node responsible for all control-plane functions, and a UP node responsible for all user-plane functions. Furthermore, the UP node should include a generalized data-plane capability to efficiently support emerging 6G data services</w:t>
      </w:r>
      <w:r>
        <w:rPr>
          <w:rFonts w:hint="eastAsia" w:ascii="Times New Roman" w:hAnsi="Times New Roman" w:cs="Times New Roman"/>
          <w:b/>
          <w:bCs/>
          <w:i/>
          <w:iCs/>
          <w:szCs w:val="21"/>
        </w:rPr>
        <w:t>.</w:t>
      </w:r>
    </w:p>
    <w:p w14:paraId="40EB5681">
      <w:pPr>
        <w:pStyle w:val="3"/>
        <w:numPr>
          <w:ilvl w:val="1"/>
          <w:numId w:val="4"/>
        </w:numPr>
        <w:tabs>
          <w:tab w:val="left" w:pos="420"/>
          <w:tab w:val="clear" w:pos="756"/>
        </w:tabs>
        <w:spacing w:before="180" w:after="120" w:line="240" w:lineRule="auto"/>
        <w:ind w:left="424" w:hanging="424"/>
        <w:rPr>
          <w:rFonts w:ascii="Arial" w:hAnsi="Arial" w:eastAsia="MS Mincho" w:cs="Arial"/>
          <w:i/>
          <w:lang w:eastAsia="en-GB"/>
        </w:rPr>
      </w:pPr>
      <w:r>
        <w:rPr>
          <w:rFonts w:hint="eastAsia" w:ascii="Times New Roman" w:hAnsi="Times New Roman" w:eastAsia="宋体" w:cs="Times New Roman"/>
          <w:sz w:val="24"/>
          <w:szCs w:val="24"/>
          <w:lang w:eastAsia="en-GB"/>
        </w:rPr>
        <w:t>UE capability framework</w:t>
      </w:r>
    </w:p>
    <w:p w14:paraId="1F627266">
      <w:pPr>
        <w:spacing w:before="120" w:beforeLines="50" w:after="120" w:afterLines="50" w:line="240" w:lineRule="auto"/>
        <w:rPr>
          <w:rFonts w:ascii="Times New Roman" w:hAnsi="Times New Roman" w:cs="Times New Roman"/>
        </w:rPr>
      </w:pPr>
      <w:r>
        <w:rPr>
          <w:rFonts w:ascii="Times New Roman" w:hAnsi="Times New Roman" w:cs="Times New Roman"/>
        </w:rPr>
        <w:t>The current (5G) framework treats capabilities in a relatively flat manner – a UE provides exhaustive information on every supported option (radio bands, maximum layers, supported channel bandwidths per band, supported features like URLLC, positioning, etc.). As UEs vary from very simple (e.g. low-cost IoT modules) to very advanced (high-end smartphones or 6G terminals), not all capability parameters are relevant to every device. In 5G, however, even a low-tier device must signal many fields (some just set to “not supported”), and a high-tier device must enumerate all combinations it supports. This one-size-fits-all signaling is inefficient and difficult to extend. It also complicates network-side interpretation, as networks must parse through capabilities to determine the “type” of device (IoT, enhanced mobile broadband, etc.) and adapt their configuration accordingly.</w:t>
      </w:r>
      <w:r>
        <w:rPr>
          <w:rFonts w:hint="eastAsia" w:ascii="Times New Roman" w:hAnsi="Times New Roman" w:cs="Times New Roman"/>
        </w:rPr>
        <w:t xml:space="preserve"> For 6G, it is worth exploring a more scalable and structured capability framework that can accommodate diverse device types without burdening the system with excessive signaling.</w:t>
      </w:r>
    </w:p>
    <w:p w14:paraId="1ECB7D3C">
      <w:pPr>
        <w:spacing w:before="120" w:beforeLines="50" w:after="120" w:afterLines="50" w:line="240" w:lineRule="auto"/>
        <w:rPr>
          <w:rFonts w:ascii="Times New Roman" w:hAnsi="Times New Roman" w:cs="Times New Roman"/>
        </w:rPr>
      </w:pPr>
      <w:r>
        <w:rPr>
          <w:rFonts w:ascii="Times New Roman" w:hAnsi="Times New Roman" w:cs="Times New Roman"/>
        </w:rPr>
        <w:t xml:space="preserve">To </w:t>
      </w:r>
      <w:r>
        <w:rPr>
          <w:rFonts w:hint="eastAsia" w:ascii="Times New Roman" w:hAnsi="Times New Roman" w:cs="Times New Roman"/>
        </w:rPr>
        <w:t>overcome the Shortcomings of the 5G approach, a hierarchical or multi-level capability representation could be considered for UE capability framework in 6G. For example, at the top level, a UE could declare its broad device type (or category), which encapsulates key characteristics of its radio and service capabilities. This device type would effectively classify the UE among a limited set of categories (for example, categories might distinguish an IoT-centric device, a standard enhanced Mobile Broadband (eMBB) device, an ultra-low latency device, an XR/immersive device, etc., as needed for 6G). After indicating its device type, a UE would then only need to report the specific capabilities relevant within that category. This constitutes the second level of the proposed multi-level framework. These specific capabilities could largely follow the existing 5G NR capability parameters, but pruned and focused for the device type. The hierarchical or multi-level capability representation would result in a leaner, more modular capability signaling and also inherently supports on-demand capability exchange: the network could query additional details only if needed.</w:t>
      </w:r>
    </w:p>
    <w:p w14:paraId="7F9039E4">
      <w:pPr>
        <w:spacing w:before="120" w:beforeLines="50" w:after="120" w:afterLines="50" w:line="240" w:lineRule="auto"/>
        <w:rPr>
          <w:rFonts w:ascii="Times New Roman" w:hAnsi="Times New Roman" w:cs="Times New Roman"/>
        </w:rPr>
      </w:pPr>
      <w:r>
        <w:rPr>
          <w:rFonts w:hint="eastAsia" w:ascii="Times New Roman" w:hAnsi="Times New Roman" w:cs="Times New Roman"/>
        </w:rPr>
        <w:t>T</w:t>
      </w:r>
      <w:r>
        <w:rPr>
          <w:rFonts w:ascii="Times New Roman" w:hAnsi="Times New Roman" w:cs="Times New Roman"/>
        </w:rPr>
        <w:t>he RAN plenary has begun examining the notion of device types and associated parameter sets for 6G.</w:t>
      </w:r>
      <w:r>
        <w:rPr>
          <w:rFonts w:hint="eastAsia" w:ascii="Times New Roman" w:hAnsi="Times New Roman" w:cs="Times New Roman"/>
        </w:rPr>
        <w:t xml:space="preserve"> By assigning each UE to a well-defined type with known baseline capabilities, the network can handle each class optimally (e.g., scheduling strategies for IoT vs eMBB devices), and the capability signaling overhead is significantly reduced for each UE. This layered approach can improve scalability as 6G connects everything from simple sensors to complex AI-powered devices.</w:t>
      </w:r>
    </w:p>
    <w:p w14:paraId="5B09CA86">
      <w:pPr>
        <w:spacing w:before="120" w:beforeLines="50" w:after="120" w:afterLines="50" w:line="360" w:lineRule="auto"/>
        <w:rPr>
          <w:rFonts w:ascii="Times New Roman" w:hAnsi="Times New Roman" w:cs="Times New Roman"/>
          <w:b/>
          <w:bCs/>
          <w:i/>
          <w:iCs/>
          <w:szCs w:val="21"/>
        </w:rPr>
      </w:pPr>
      <w:r>
        <w:rPr>
          <w:rFonts w:ascii="Times New Roman" w:hAnsi="Times New Roman" w:cs="Times New Roman"/>
          <w:b/>
          <w:bCs/>
          <w:i/>
          <w:iCs/>
          <w:szCs w:val="21"/>
        </w:rPr>
        <w:t>Proposal 2: Adopt a multi-level UE capability framework for 6G</w:t>
      </w:r>
      <w:r>
        <w:rPr>
          <w:rFonts w:hint="eastAsia" w:ascii="Times New Roman" w:hAnsi="Times New Roman" w:cs="Times New Roman"/>
          <w:b/>
          <w:bCs/>
          <w:i/>
          <w:iCs/>
          <w:szCs w:val="21"/>
        </w:rPr>
        <w:t xml:space="preserve"> and the device type could be the top level.</w:t>
      </w:r>
    </w:p>
    <w:p w14:paraId="21AB69B2">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Conclusion</w:t>
      </w:r>
    </w:p>
    <w:p w14:paraId="4802A489">
      <w:pPr>
        <w:spacing w:after="120" w:afterLines="50"/>
        <w:rPr>
          <w:rFonts w:hint="eastAsia" w:ascii="Times New Roman" w:hAnsi="Times New Roman" w:cs="Times New Roman"/>
          <w:szCs w:val="21"/>
        </w:rPr>
      </w:pPr>
      <w:r>
        <w:rPr>
          <w:rFonts w:hint="eastAsia" w:ascii="Times New Roman" w:hAnsi="Times New Roman" w:cs="Times New Roman"/>
          <w:szCs w:val="21"/>
        </w:rPr>
        <w:t xml:space="preserve">In this contribution, we discussed the </w:t>
      </w:r>
      <w:r>
        <w:rPr>
          <w:rFonts w:hint="eastAsia" w:ascii="Times New Roman" w:hAnsi="Times New Roman" w:cs="Times New Roman"/>
          <w:szCs w:val="21"/>
          <w:lang w:val="en-US" w:eastAsia="zh-CN"/>
        </w:rPr>
        <w:t>following general aspects for 6GR</w:t>
      </w:r>
      <w:r>
        <w:rPr>
          <w:rFonts w:hint="eastAsia" w:ascii="Times New Roman" w:hAnsi="Times New Roman" w:cs="Times New Roman"/>
        </w:rPr>
        <w:t xml:space="preserve"> </w:t>
      </w:r>
      <w:r>
        <w:rPr>
          <w:rFonts w:hint="eastAsia" w:ascii="Times New Roman" w:hAnsi="Times New Roman" w:cs="Times New Roman"/>
          <w:szCs w:val="21"/>
        </w:rPr>
        <w:t xml:space="preserve">and provided our proposals as follows: </w:t>
      </w:r>
    </w:p>
    <w:p w14:paraId="1FB347CA">
      <w:pPr>
        <w:numPr>
          <w:ilvl w:val="0"/>
          <w:numId w:val="6"/>
        </w:numPr>
        <w:spacing w:after="120" w:afterLines="50"/>
        <w:ind w:left="420" w:leftChars="0" w:hanging="420" w:firstLineChars="0"/>
        <w:rPr>
          <w:rFonts w:hint="eastAsia" w:ascii="Times New Roman" w:hAnsi="Times New Roman" w:cs="Times New Roman"/>
          <w:szCs w:val="21"/>
        </w:rPr>
      </w:pPr>
      <w:r>
        <w:rPr>
          <w:rFonts w:hint="eastAsia" w:ascii="Times New Roman" w:hAnsi="Times New Roman" w:eastAsia="宋体" w:cs="Times New Roman"/>
          <w:sz w:val="24"/>
          <w:szCs w:val="24"/>
          <w:lang w:val="en-US" w:eastAsia="zh-CN"/>
        </w:rPr>
        <w:t xml:space="preserve">Design </w:t>
      </w:r>
      <w:r>
        <w:rPr>
          <w:rFonts w:ascii="Times New Roman" w:hAnsi="Times New Roman" w:eastAsia="宋体" w:cs="Times New Roman"/>
          <w:sz w:val="24"/>
          <w:szCs w:val="24"/>
          <w:lang w:val="en-US" w:eastAsia="zh-CN"/>
        </w:rPr>
        <w:t>principles</w:t>
      </w:r>
      <w:r>
        <w:rPr>
          <w:rFonts w:hint="eastAsia" w:ascii="Times New Roman" w:hAnsi="Times New Roman" w:eastAsia="宋体" w:cs="Times New Roman"/>
          <w:sz w:val="24"/>
          <w:szCs w:val="24"/>
          <w:lang w:val="en-US" w:eastAsia="zh-CN"/>
        </w:rPr>
        <w:t xml:space="preserve"> for 6GR</w:t>
      </w:r>
    </w:p>
    <w:p w14:paraId="286EF190">
      <w:pPr>
        <w:spacing w:before="120" w:beforeLines="50" w:after="120" w:afterLines="50" w:line="240" w:lineRule="auto"/>
        <w:ind w:left="1059" w:leftChars="200" w:hanging="639" w:hangingChars="304"/>
        <w:rPr>
          <w:rFonts w:hint="eastAsia" w:ascii="Times New Roman" w:hAnsi="Times New Roman" w:cs="Times New Roman" w:eastAsiaTheme="minorEastAsia"/>
          <w:b/>
          <w:bCs/>
          <w:i/>
          <w:iCs/>
          <w:szCs w:val="21"/>
          <w:lang w:eastAsia="zh-CN"/>
        </w:rPr>
      </w:pPr>
      <w:r>
        <w:rPr>
          <w:rFonts w:hint="eastAsia" w:ascii="Times New Roman" w:hAnsi="Times New Roman" w:cs="Times New Roman"/>
          <w:b/>
          <w:bCs/>
          <w:i/>
          <w:iCs/>
          <w:szCs w:val="21"/>
        </w:rPr>
        <w:t xml:space="preserve">Principles 1：Modular-based architecture and protocol designing for </w:t>
      </w:r>
      <w:r>
        <w:rPr>
          <w:rFonts w:hint="eastAsia" w:ascii="Times New Roman" w:hAnsi="Times New Roman" w:cs="Times New Roman"/>
          <w:b/>
          <w:bCs/>
          <w:i/>
          <w:iCs/>
          <w:szCs w:val="21"/>
          <w:lang w:eastAsia="zh-CN"/>
        </w:rPr>
        <w:t>6GR</w:t>
      </w:r>
    </w:p>
    <w:p w14:paraId="4335FA54">
      <w:pPr>
        <w:spacing w:before="120" w:beforeLines="50" w:after="120" w:afterLines="50" w:line="240" w:lineRule="auto"/>
        <w:ind w:left="1059" w:leftChars="200" w:hanging="639" w:hangingChars="304"/>
        <w:rPr>
          <w:rFonts w:hint="eastAsia" w:ascii="Times New Roman" w:hAnsi="Times New Roman" w:cs="Times New Roman"/>
          <w:b/>
          <w:bCs/>
          <w:i/>
          <w:iCs/>
          <w:szCs w:val="21"/>
          <w:lang w:eastAsia="zh-CN"/>
        </w:rPr>
      </w:pPr>
      <w:r>
        <w:rPr>
          <w:rFonts w:ascii="Times New Roman" w:hAnsi="Times New Roman" w:cs="Times New Roman"/>
          <w:b/>
          <w:bCs/>
          <w:i/>
          <w:iCs/>
          <w:szCs w:val="21"/>
        </w:rPr>
        <w:t>Principles</w:t>
      </w:r>
      <w:r>
        <w:rPr>
          <w:rFonts w:hint="eastAsia" w:ascii="Times New Roman" w:hAnsi="Times New Roman" w:cs="Times New Roman"/>
          <w:b/>
          <w:bCs/>
          <w:i/>
          <w:iCs/>
          <w:szCs w:val="21"/>
        </w:rPr>
        <w:t xml:space="preserve"> 2</w:t>
      </w:r>
      <w:r>
        <w:rPr>
          <w:rFonts w:ascii="Times New Roman" w:hAnsi="Times New Roman" w:cs="Times New Roman"/>
          <w:b/>
          <w:bCs/>
          <w:i/>
          <w:iCs/>
          <w:szCs w:val="21"/>
        </w:rPr>
        <w:t xml:space="preserve">: </w:t>
      </w:r>
      <w:r>
        <w:rPr>
          <w:rFonts w:hint="eastAsia" w:ascii="Times New Roman" w:hAnsi="Times New Roman" w:cs="Times New Roman"/>
          <w:b/>
          <w:bCs/>
          <w:i/>
          <w:iCs/>
          <w:szCs w:val="21"/>
        </w:rPr>
        <w:t xml:space="preserve">On-Demand Designing for advanced functionalities of </w:t>
      </w:r>
      <w:r>
        <w:rPr>
          <w:rFonts w:hint="eastAsia" w:ascii="Times New Roman" w:hAnsi="Times New Roman" w:cs="Times New Roman"/>
          <w:b/>
          <w:bCs/>
          <w:i/>
          <w:iCs/>
          <w:szCs w:val="21"/>
          <w:lang w:eastAsia="zh-CN"/>
        </w:rPr>
        <w:t>6GR</w:t>
      </w:r>
    </w:p>
    <w:p w14:paraId="7F413C5C">
      <w:pPr>
        <w:numPr>
          <w:ilvl w:val="0"/>
          <w:numId w:val="6"/>
        </w:numPr>
        <w:spacing w:before="120" w:beforeLines="50" w:after="120" w:afterLines="50" w:line="240" w:lineRule="auto"/>
        <w:ind w:left="420" w:leftChars="0" w:hanging="420" w:firstLineChars="0"/>
        <w:rPr>
          <w:rFonts w:hint="eastAsia" w:ascii="Times New Roman" w:hAnsi="Times New Roman" w:cs="Times New Roman"/>
          <w:b/>
          <w:bCs/>
          <w:i/>
          <w:iCs/>
          <w:szCs w:val="21"/>
          <w:lang w:eastAsia="zh-CN"/>
        </w:rPr>
      </w:pPr>
      <w:r>
        <w:rPr>
          <w:rFonts w:hint="eastAsia" w:ascii="Times New Roman" w:hAnsi="Times New Roman" w:eastAsia="宋体" w:cs="Times New Roman"/>
          <w:sz w:val="24"/>
          <w:szCs w:val="24"/>
          <w:lang w:val="en-US" w:eastAsia="zh-CN"/>
        </w:rPr>
        <w:t>New services</w:t>
      </w:r>
    </w:p>
    <w:p w14:paraId="08D13A44">
      <w:pPr>
        <w:spacing w:before="120" w:beforeLines="50" w:after="120" w:afterLines="50" w:line="240" w:lineRule="auto"/>
        <w:ind w:left="1679" w:leftChars="200" w:hanging="1259" w:hangingChars="599"/>
        <w:rPr>
          <w:rFonts w:ascii="Times New Roman" w:hAnsi="Times New Roman" w:cs="Times New Roman"/>
          <w:b/>
          <w:bCs/>
          <w:i/>
          <w:iCs/>
          <w:szCs w:val="21"/>
        </w:rPr>
      </w:pPr>
      <w:r>
        <w:rPr>
          <w:rFonts w:ascii="Times New Roman" w:hAnsi="Times New Roman" w:cs="Times New Roman"/>
          <w:b/>
          <w:bCs/>
          <w:i/>
          <w:iCs/>
          <w:szCs w:val="21"/>
        </w:rPr>
        <w:t xml:space="preserve">Observation 1: </w:t>
      </w:r>
      <w:r>
        <w:rPr>
          <w:rFonts w:hint="eastAsia" w:ascii="Times New Roman" w:hAnsi="Times New Roman" w:cs="Times New Roman"/>
          <w:b/>
          <w:bCs/>
          <w:i/>
          <w:iCs/>
          <w:szCs w:val="21"/>
        </w:rPr>
        <w:t xml:space="preserve">The </w:t>
      </w:r>
      <w:r>
        <w:rPr>
          <w:rFonts w:ascii="Times New Roman" w:hAnsi="Times New Roman" w:cs="Times New Roman"/>
          <w:b/>
          <w:bCs/>
          <w:i/>
          <w:iCs/>
          <w:szCs w:val="21"/>
        </w:rPr>
        <w:t xml:space="preserve">support of AI functionality in </w:t>
      </w:r>
      <w:r>
        <w:rPr>
          <w:rFonts w:hint="eastAsia" w:ascii="Times New Roman" w:hAnsi="Times New Roman" w:cs="Times New Roman"/>
          <w:b/>
          <w:bCs/>
          <w:i/>
          <w:iCs/>
          <w:szCs w:val="21"/>
          <w:lang w:eastAsia="zh-CN"/>
        </w:rPr>
        <w:t>6GR</w:t>
      </w:r>
      <w:r>
        <w:rPr>
          <w:rFonts w:ascii="Times New Roman" w:hAnsi="Times New Roman" w:cs="Times New Roman"/>
          <w:b/>
          <w:bCs/>
          <w:i/>
          <w:iCs/>
          <w:szCs w:val="21"/>
        </w:rPr>
        <w:t xml:space="preserve"> will require RAN nodes to exchange significant amounts of data across the Uu interface (RAN–UE), between RAN nodes (inter-base station), and between RAN and core network nodes.</w:t>
      </w:r>
    </w:p>
    <w:p w14:paraId="5DB4FCB2">
      <w:pPr>
        <w:spacing w:before="120" w:beforeLines="50" w:after="120" w:afterLines="50" w:line="240" w:lineRule="auto"/>
        <w:ind w:left="1679" w:leftChars="200" w:hanging="1259" w:hangingChars="599"/>
        <w:rPr>
          <w:rFonts w:ascii="Times New Roman" w:hAnsi="Times New Roman" w:cs="Times New Roman"/>
          <w:b/>
          <w:bCs/>
          <w:i/>
          <w:iCs/>
          <w:szCs w:val="21"/>
        </w:rPr>
      </w:pPr>
      <w:r>
        <w:rPr>
          <w:rFonts w:ascii="Times New Roman" w:hAnsi="Times New Roman" w:cs="Times New Roman"/>
          <w:b/>
          <w:bCs/>
          <w:i/>
          <w:iCs/>
          <w:szCs w:val="21"/>
        </w:rPr>
        <w:t xml:space="preserve">Observation 2: </w:t>
      </w:r>
      <w:r>
        <w:rPr>
          <w:rFonts w:hint="eastAsia" w:ascii="Times New Roman" w:hAnsi="Times New Roman" w:cs="Times New Roman"/>
          <w:b/>
          <w:bCs/>
          <w:i/>
          <w:iCs/>
          <w:szCs w:val="21"/>
        </w:rPr>
        <w:t xml:space="preserve">The </w:t>
      </w:r>
      <w:r>
        <w:rPr>
          <w:rFonts w:ascii="Times New Roman" w:hAnsi="Times New Roman" w:cs="Times New Roman"/>
          <w:b/>
          <w:bCs/>
          <w:i/>
          <w:iCs/>
          <w:szCs w:val="21"/>
        </w:rPr>
        <w:t xml:space="preserve">support of sensing functionality in </w:t>
      </w:r>
      <w:r>
        <w:rPr>
          <w:rFonts w:hint="eastAsia" w:ascii="Times New Roman" w:hAnsi="Times New Roman" w:cs="Times New Roman"/>
          <w:b/>
          <w:bCs/>
          <w:i/>
          <w:iCs/>
          <w:szCs w:val="21"/>
          <w:lang w:eastAsia="zh-CN"/>
        </w:rPr>
        <w:t>6GR</w:t>
      </w:r>
      <w:r>
        <w:rPr>
          <w:rFonts w:ascii="Times New Roman" w:hAnsi="Times New Roman" w:cs="Times New Roman"/>
          <w:b/>
          <w:bCs/>
          <w:i/>
          <w:iCs/>
          <w:szCs w:val="21"/>
        </w:rPr>
        <w:t xml:space="preserve"> will similarly require extensive data exchange between RAN nodes and UEs, among RAN nodes themselves, and between RAN and core network entities.</w:t>
      </w:r>
    </w:p>
    <w:p w14:paraId="6E694858">
      <w:pPr>
        <w:numPr>
          <w:ilvl w:val="0"/>
          <w:numId w:val="6"/>
        </w:numPr>
        <w:spacing w:before="120" w:beforeLines="50" w:after="120" w:afterLines="50" w:line="240" w:lineRule="auto"/>
        <w:ind w:left="420" w:leftChars="0" w:hanging="420" w:firstLineChars="0"/>
        <w:rPr>
          <w:rFonts w:ascii="Times New Roman" w:hAnsi="Times New Roman" w:cs="Times New Roman"/>
          <w:b/>
          <w:bCs/>
          <w:i/>
          <w:iCs/>
          <w:szCs w:val="21"/>
        </w:rPr>
      </w:pPr>
      <w:r>
        <w:rPr>
          <w:rFonts w:hint="eastAsia" w:ascii="Times New Roman" w:hAnsi="Times New Roman" w:eastAsia="宋体" w:cs="Times New Roman"/>
          <w:sz w:val="24"/>
          <w:szCs w:val="24"/>
          <w:lang w:val="en-US" w:eastAsia="zh-CN"/>
        </w:rPr>
        <w:t xml:space="preserve">6G RAN </w:t>
      </w:r>
      <w:r>
        <w:rPr>
          <w:rFonts w:hint="eastAsia" w:ascii="Times New Roman" w:hAnsi="Times New Roman" w:eastAsia="宋体" w:cs="Times New Roman"/>
          <w:sz w:val="24"/>
          <w:szCs w:val="24"/>
          <w:lang w:eastAsia="en-GB"/>
        </w:rPr>
        <w:t>Architecture</w:t>
      </w:r>
    </w:p>
    <w:p w14:paraId="034F2923">
      <w:pPr>
        <w:spacing w:before="120" w:beforeLines="50" w:after="120" w:afterLines="50" w:line="240" w:lineRule="auto"/>
        <w:ind w:left="1498" w:leftChars="200" w:hanging="1078" w:hangingChars="513"/>
        <w:rPr>
          <w:rFonts w:hint="eastAsia" w:ascii="Times New Roman" w:hAnsi="Times New Roman" w:cs="Times New Roman"/>
          <w:b/>
          <w:bCs/>
          <w:i/>
          <w:iCs/>
          <w:szCs w:val="21"/>
        </w:rPr>
      </w:pPr>
      <w:r>
        <w:rPr>
          <w:rFonts w:ascii="Times New Roman" w:hAnsi="Times New Roman" w:cs="Times New Roman"/>
          <w:b/>
          <w:bCs/>
          <w:i/>
          <w:iCs/>
          <w:szCs w:val="21"/>
        </w:rPr>
        <w:t>Proposal 1: In the 6G RAN architecture, adopt a clear control plane (CP) and user plane (UP) separation by defining two main RAN logical nodes – a CP node responsible for all control-plane functions, and a UP node responsible for all user-plane functions. Furthermore, the UP node should include a generalized data-plane capability to efficiently support emerging 6G data services</w:t>
      </w:r>
      <w:r>
        <w:rPr>
          <w:rFonts w:hint="eastAsia" w:ascii="Times New Roman" w:hAnsi="Times New Roman" w:cs="Times New Roman"/>
          <w:b/>
          <w:bCs/>
          <w:i/>
          <w:iCs/>
          <w:szCs w:val="21"/>
        </w:rPr>
        <w:t>.</w:t>
      </w:r>
    </w:p>
    <w:p w14:paraId="522A1118">
      <w:pPr>
        <w:numPr>
          <w:ilvl w:val="0"/>
          <w:numId w:val="6"/>
        </w:numPr>
        <w:spacing w:before="120" w:beforeLines="50" w:after="120" w:afterLines="50" w:line="240" w:lineRule="auto"/>
        <w:ind w:left="420" w:leftChars="0" w:hanging="420" w:firstLineChars="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en-GB"/>
        </w:rPr>
        <w:t>UE capability framework</w:t>
      </w:r>
    </w:p>
    <w:p w14:paraId="0EE9C97B">
      <w:pPr>
        <w:spacing w:before="120" w:beforeLines="50" w:after="120" w:afterLines="50" w:line="240" w:lineRule="auto"/>
        <w:ind w:left="1498" w:leftChars="200" w:hanging="1078" w:hangingChars="513"/>
        <w:rPr>
          <w:rFonts w:ascii="Times New Roman" w:hAnsi="Times New Roman" w:cs="Times New Roman"/>
          <w:b/>
          <w:bCs/>
          <w:i/>
          <w:iCs/>
          <w:szCs w:val="21"/>
        </w:rPr>
      </w:pPr>
      <w:r>
        <w:rPr>
          <w:rFonts w:ascii="Times New Roman" w:hAnsi="Times New Roman" w:cs="Times New Roman"/>
          <w:b/>
          <w:bCs/>
          <w:i/>
          <w:iCs/>
          <w:szCs w:val="21"/>
        </w:rPr>
        <w:t>Proposal 2: Adopt a multi-level UE capability framework for 6G</w:t>
      </w:r>
      <w:r>
        <w:rPr>
          <w:rFonts w:hint="eastAsia" w:ascii="Times New Roman" w:hAnsi="Times New Roman" w:cs="Times New Roman"/>
          <w:b/>
          <w:bCs/>
          <w:i/>
          <w:iCs/>
          <w:szCs w:val="21"/>
        </w:rPr>
        <w:t xml:space="preserve"> and the device type could be the top level.</w:t>
      </w:r>
    </w:p>
    <w:p w14:paraId="39E33C24">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References</w:t>
      </w:r>
    </w:p>
    <w:p w14:paraId="5D87145B">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rPr>
        <w:t>TR 22.870</w:t>
      </w:r>
      <w:r>
        <w:rPr>
          <w:rFonts w:hint="eastAsia" w:ascii="Times New Roman" w:hAnsi="Times New Roman" w:cs="Times New Roman"/>
        </w:rPr>
        <w:t xml:space="preserve">: </w:t>
      </w:r>
      <w:r>
        <w:rPr>
          <w:rFonts w:ascii="Times New Roman" w:hAnsi="Times New Roman" w:cs="Times New Roman"/>
        </w:rPr>
        <w:t>"Study on 6G Use Cases and Service Requirements".</w:t>
      </w:r>
    </w:p>
    <w:p w14:paraId="2224DAC0">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rPr>
        <w:t>TR </w:t>
      </w:r>
      <w:r>
        <w:rPr>
          <w:rFonts w:hint="eastAsia" w:ascii="Times New Roman" w:hAnsi="Times New Roman" w:cs="Times New Roman"/>
        </w:rPr>
        <w:t>38</w:t>
      </w:r>
      <w:r>
        <w:rPr>
          <w:rFonts w:ascii="Times New Roman" w:hAnsi="Times New Roman" w:cs="Times New Roman"/>
        </w:rPr>
        <w:t>.</w:t>
      </w:r>
      <w:r>
        <w:rPr>
          <w:rFonts w:hint="eastAsia" w:ascii="Times New Roman" w:hAnsi="Times New Roman" w:cs="Times New Roman"/>
        </w:rPr>
        <w:t xml:space="preserve">914: </w:t>
      </w:r>
      <w:r>
        <w:rPr>
          <w:rFonts w:ascii="Times New Roman" w:hAnsi="Times New Roman" w:cs="Times New Roman"/>
        </w:rPr>
        <w:t xml:space="preserve">"Study on 6G Scenarios and </w:t>
      </w:r>
      <w:r>
        <w:rPr>
          <w:rFonts w:hint="eastAsia" w:ascii="Times New Roman" w:hAnsi="Times New Roman" w:cs="Times New Roman"/>
        </w:rPr>
        <w:t>R</w:t>
      </w:r>
      <w:r>
        <w:rPr>
          <w:rFonts w:ascii="Times New Roman" w:hAnsi="Times New Roman" w:cs="Times New Roman"/>
        </w:rPr>
        <w:t>equirements"</w:t>
      </w:r>
      <w:r>
        <w:rPr>
          <w:rFonts w:hint="eastAsia" w:ascii="Times New Roman" w:hAnsi="Times New Roman" w:cs="Times New Roman"/>
        </w:rPr>
        <w:t>.</w:t>
      </w:r>
    </w:p>
    <w:p w14:paraId="7AE8BC9B">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rPr>
        <w:t>RP-252912: " Revised SID: Study on 6G Radio“NTT DOCOMO, CMCC, AT&amp;T, Vodafone Beijing, China, September 15-18, 2025</w:t>
      </w:r>
      <w:r>
        <w:rPr>
          <w:rFonts w:hint="eastAsia" w:ascii="Times New Roman" w:hAnsi="Times New Roman" w:cs="Times New Roman"/>
          <w:lang w:val="en-US" w:eastAsia="zh-CN"/>
        </w:rPr>
        <w:t>.</w:t>
      </w:r>
    </w:p>
    <w:p w14:paraId="4D9883BD">
      <w:pPr>
        <w:spacing w:before="120" w:beforeLines="50" w:after="120" w:afterLines="50" w:line="360" w:lineRule="auto"/>
        <w:rPr>
          <w:rFonts w:ascii="Times New Roman" w:hAnsi="Times New Roman" w:cs="Times New Roman"/>
          <w:b/>
          <w:bCs/>
          <w:i/>
          <w:iCs/>
          <w:szCs w:val="21"/>
        </w:rPr>
      </w:pPr>
    </w:p>
    <w:sectPr>
      <w:pgSz w:w="11907" w:h="16840"/>
      <w:pgMar w:top="1440" w:right="1157" w:bottom="1440" w:left="1440"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4FB349"/>
    <w:multiLevelType w:val="multilevel"/>
    <w:tmpl w:val="B64FB349"/>
    <w:lvl w:ilvl="0" w:tentative="0">
      <w:start w:val="2"/>
      <w:numFmt w:val="decimal"/>
      <w:lvlText w:val="%1"/>
      <w:lvlJc w:val="left"/>
      <w:pPr>
        <w:tabs>
          <w:tab w:val="left" w:pos="612"/>
        </w:tabs>
        <w:ind w:left="0" w:firstLine="0"/>
      </w:pPr>
      <w:rPr>
        <w:rFonts w:hint="default" w:ascii="宋体" w:hAnsi="宋体" w:eastAsia="宋体" w:cs="宋体"/>
        <w:u w:val="none"/>
      </w:rPr>
    </w:lvl>
    <w:lvl w:ilvl="1" w:tentative="0">
      <w:start w:val="2"/>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4771F0A5"/>
    <w:multiLevelType w:val="singleLevel"/>
    <w:tmpl w:val="4771F0A5"/>
    <w:lvl w:ilvl="0" w:tentative="0">
      <w:start w:val="1"/>
      <w:numFmt w:val="bullet"/>
      <w:lvlText w:val=""/>
      <w:lvlJc w:val="left"/>
      <w:pPr>
        <w:ind w:left="420" w:hanging="420"/>
      </w:pPr>
      <w:rPr>
        <w:rFonts w:hint="default" w:ascii="Wingdings" w:hAnsi="Wingdings"/>
      </w:rPr>
    </w:lvl>
  </w:abstractNum>
  <w:abstractNum w:abstractNumId="4">
    <w:nsid w:val="70146DC0"/>
    <w:multiLevelType w:val="multilevel"/>
    <w:tmpl w:val="70146DC0"/>
    <w:lvl w:ilvl="0" w:tentative="0">
      <w:start w:val="1"/>
      <w:numFmt w:val="bullet"/>
      <w:pStyle w:val="56"/>
      <w:lvlText w:val=""/>
      <w:lvlJc w:val="left"/>
      <w:pPr>
        <w:tabs>
          <w:tab w:val="left" w:pos="2039"/>
        </w:tabs>
        <w:ind w:left="2039" w:hanging="360"/>
      </w:pPr>
      <w:rPr>
        <w:rFonts w:hint="default" w:ascii="Symbol" w:hAnsi="Symbol"/>
        <w:b/>
        <w:i w:val="0"/>
        <w:color w:val="auto"/>
        <w:sz w:val="22"/>
      </w:rPr>
    </w:lvl>
    <w:lvl w:ilvl="1" w:tentative="0">
      <w:start w:val="1"/>
      <w:numFmt w:val="bullet"/>
      <w:lvlText w:val="o"/>
      <w:lvlJc w:val="left"/>
      <w:pPr>
        <w:tabs>
          <w:tab w:val="left" w:pos="1860"/>
        </w:tabs>
        <w:ind w:left="1860" w:hanging="360"/>
      </w:pPr>
      <w:rPr>
        <w:rFonts w:hint="default" w:ascii="Courier New" w:hAnsi="Courier New" w:cs="Courier New"/>
      </w:rPr>
    </w:lvl>
    <w:lvl w:ilvl="2" w:tentative="0">
      <w:start w:val="1"/>
      <w:numFmt w:val="bullet"/>
      <w:lvlText w:val=""/>
      <w:lvlJc w:val="left"/>
      <w:pPr>
        <w:tabs>
          <w:tab w:val="left" w:pos="2580"/>
        </w:tabs>
        <w:ind w:left="2580" w:hanging="360"/>
      </w:pPr>
      <w:rPr>
        <w:rFonts w:hint="default" w:ascii="Wingdings" w:hAnsi="Wingdings"/>
      </w:rPr>
    </w:lvl>
    <w:lvl w:ilvl="3" w:tentative="0">
      <w:start w:val="1"/>
      <w:numFmt w:val="bullet"/>
      <w:lvlText w:val=""/>
      <w:lvlJc w:val="left"/>
      <w:pPr>
        <w:tabs>
          <w:tab w:val="left" w:pos="3300"/>
        </w:tabs>
        <w:ind w:left="3300" w:hanging="360"/>
      </w:pPr>
      <w:rPr>
        <w:rFonts w:hint="default" w:ascii="Symbol" w:hAnsi="Symbol"/>
      </w:rPr>
    </w:lvl>
    <w:lvl w:ilvl="4" w:tentative="0">
      <w:start w:val="1"/>
      <w:numFmt w:val="bullet"/>
      <w:lvlText w:val="o"/>
      <w:lvlJc w:val="left"/>
      <w:pPr>
        <w:tabs>
          <w:tab w:val="left" w:pos="4020"/>
        </w:tabs>
        <w:ind w:left="4020" w:hanging="360"/>
      </w:pPr>
      <w:rPr>
        <w:rFonts w:hint="default" w:ascii="Courier New" w:hAnsi="Courier New" w:cs="Courier New"/>
      </w:rPr>
    </w:lvl>
    <w:lvl w:ilvl="5" w:tentative="0">
      <w:start w:val="1"/>
      <w:numFmt w:val="bullet"/>
      <w:lvlText w:val=""/>
      <w:lvlJc w:val="left"/>
      <w:pPr>
        <w:tabs>
          <w:tab w:val="left" w:pos="4740"/>
        </w:tabs>
        <w:ind w:left="4740" w:hanging="360"/>
      </w:pPr>
      <w:rPr>
        <w:rFonts w:hint="default" w:ascii="Wingdings" w:hAnsi="Wingdings"/>
      </w:rPr>
    </w:lvl>
    <w:lvl w:ilvl="6" w:tentative="0">
      <w:start w:val="1"/>
      <w:numFmt w:val="bullet"/>
      <w:lvlText w:val=""/>
      <w:lvlJc w:val="left"/>
      <w:pPr>
        <w:tabs>
          <w:tab w:val="left" w:pos="5460"/>
        </w:tabs>
        <w:ind w:left="5460" w:hanging="360"/>
      </w:pPr>
      <w:rPr>
        <w:rFonts w:hint="default" w:ascii="Symbol" w:hAnsi="Symbol"/>
      </w:rPr>
    </w:lvl>
    <w:lvl w:ilvl="7" w:tentative="0">
      <w:start w:val="1"/>
      <w:numFmt w:val="bullet"/>
      <w:lvlText w:val="o"/>
      <w:lvlJc w:val="left"/>
      <w:pPr>
        <w:tabs>
          <w:tab w:val="left" w:pos="6180"/>
        </w:tabs>
        <w:ind w:left="6180" w:hanging="360"/>
      </w:pPr>
      <w:rPr>
        <w:rFonts w:hint="default" w:ascii="Courier New" w:hAnsi="Courier New" w:cs="Courier New"/>
      </w:rPr>
    </w:lvl>
    <w:lvl w:ilvl="8" w:tentative="0">
      <w:start w:val="1"/>
      <w:numFmt w:val="bullet"/>
      <w:lvlText w:val=""/>
      <w:lvlJc w:val="left"/>
      <w:pPr>
        <w:tabs>
          <w:tab w:val="left" w:pos="6900"/>
        </w:tabs>
        <w:ind w:left="6900" w:hanging="360"/>
      </w:pPr>
      <w:rPr>
        <w:rFonts w:hint="default" w:ascii="Wingdings" w:hAnsi="Wingdings"/>
      </w:rPr>
    </w:lvl>
  </w:abstractNum>
  <w:abstractNum w:abstractNumId="5">
    <w:nsid w:val="748A37DD"/>
    <w:multiLevelType w:val="multilevel"/>
    <w:tmpl w:val="748A37DD"/>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6">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5"/>
  </w:num>
  <w:num w:numId="2">
    <w:abstractNumId w:val="4"/>
  </w:num>
  <w:num w:numId="3">
    <w:abstractNumId w:val="2"/>
  </w:num>
  <w:num w:numId="4">
    <w:abstractNumId w:val="6"/>
  </w:num>
  <w:num w:numId="5">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0A536E"/>
    <w:rsid w:val="000D4438"/>
    <w:rsid w:val="00117F8C"/>
    <w:rsid w:val="00172A27"/>
    <w:rsid w:val="001C6619"/>
    <w:rsid w:val="001D2C3E"/>
    <w:rsid w:val="001F3F5F"/>
    <w:rsid w:val="0024046B"/>
    <w:rsid w:val="002A45E4"/>
    <w:rsid w:val="002F2773"/>
    <w:rsid w:val="00321149"/>
    <w:rsid w:val="00326577"/>
    <w:rsid w:val="00327893"/>
    <w:rsid w:val="003E55A9"/>
    <w:rsid w:val="0043145D"/>
    <w:rsid w:val="00455276"/>
    <w:rsid w:val="00465CBE"/>
    <w:rsid w:val="00472F90"/>
    <w:rsid w:val="00486984"/>
    <w:rsid w:val="004942EF"/>
    <w:rsid w:val="004C4690"/>
    <w:rsid w:val="00526E9D"/>
    <w:rsid w:val="0056591F"/>
    <w:rsid w:val="005B7094"/>
    <w:rsid w:val="005C34E1"/>
    <w:rsid w:val="00610C32"/>
    <w:rsid w:val="00612CD8"/>
    <w:rsid w:val="00633656"/>
    <w:rsid w:val="006710BF"/>
    <w:rsid w:val="00680B0A"/>
    <w:rsid w:val="0068557B"/>
    <w:rsid w:val="006A6BA3"/>
    <w:rsid w:val="007109E6"/>
    <w:rsid w:val="00747CF4"/>
    <w:rsid w:val="007E2DA4"/>
    <w:rsid w:val="00801DCF"/>
    <w:rsid w:val="00821CD1"/>
    <w:rsid w:val="00863968"/>
    <w:rsid w:val="00867DE5"/>
    <w:rsid w:val="00872B5B"/>
    <w:rsid w:val="008812D7"/>
    <w:rsid w:val="008B1CC1"/>
    <w:rsid w:val="00906D6E"/>
    <w:rsid w:val="00946B7B"/>
    <w:rsid w:val="00A3312D"/>
    <w:rsid w:val="00A3450B"/>
    <w:rsid w:val="00A94DC1"/>
    <w:rsid w:val="00AD5960"/>
    <w:rsid w:val="00B36A82"/>
    <w:rsid w:val="00B85346"/>
    <w:rsid w:val="00B91EA4"/>
    <w:rsid w:val="00BC6118"/>
    <w:rsid w:val="00BE19BF"/>
    <w:rsid w:val="00C055E7"/>
    <w:rsid w:val="00C37DFA"/>
    <w:rsid w:val="00C404CC"/>
    <w:rsid w:val="00C525DD"/>
    <w:rsid w:val="00C8775C"/>
    <w:rsid w:val="00C95345"/>
    <w:rsid w:val="00CB77BE"/>
    <w:rsid w:val="00D02949"/>
    <w:rsid w:val="00D23614"/>
    <w:rsid w:val="00D51430"/>
    <w:rsid w:val="00D622DF"/>
    <w:rsid w:val="00DE1A01"/>
    <w:rsid w:val="00DE1EC0"/>
    <w:rsid w:val="00DF649C"/>
    <w:rsid w:val="00E53669"/>
    <w:rsid w:val="00E72F64"/>
    <w:rsid w:val="00E8052D"/>
    <w:rsid w:val="00EB42A3"/>
    <w:rsid w:val="00F35E12"/>
    <w:rsid w:val="00F57871"/>
    <w:rsid w:val="00F929A3"/>
    <w:rsid w:val="00FC66A5"/>
    <w:rsid w:val="00FE70FF"/>
    <w:rsid w:val="010E1D4D"/>
    <w:rsid w:val="01330893"/>
    <w:rsid w:val="01B12E58"/>
    <w:rsid w:val="01C371DA"/>
    <w:rsid w:val="020411DA"/>
    <w:rsid w:val="031B28AD"/>
    <w:rsid w:val="034877EC"/>
    <w:rsid w:val="034E4A60"/>
    <w:rsid w:val="03CF75C5"/>
    <w:rsid w:val="03DD6AF5"/>
    <w:rsid w:val="047162D4"/>
    <w:rsid w:val="049F168E"/>
    <w:rsid w:val="04BD145A"/>
    <w:rsid w:val="04E00808"/>
    <w:rsid w:val="055E50A5"/>
    <w:rsid w:val="0568310D"/>
    <w:rsid w:val="05720F2C"/>
    <w:rsid w:val="05756793"/>
    <w:rsid w:val="05A47ACE"/>
    <w:rsid w:val="05BB24F7"/>
    <w:rsid w:val="05D76C05"/>
    <w:rsid w:val="06897EFF"/>
    <w:rsid w:val="06A41191"/>
    <w:rsid w:val="07273F13"/>
    <w:rsid w:val="072D40F1"/>
    <w:rsid w:val="074D2750"/>
    <w:rsid w:val="07522471"/>
    <w:rsid w:val="07FE2B1F"/>
    <w:rsid w:val="08B2294B"/>
    <w:rsid w:val="08FC1348"/>
    <w:rsid w:val="092A7ACA"/>
    <w:rsid w:val="09452F63"/>
    <w:rsid w:val="09680EB8"/>
    <w:rsid w:val="099A3E69"/>
    <w:rsid w:val="09ED2CA5"/>
    <w:rsid w:val="0A481A1C"/>
    <w:rsid w:val="0AE314B1"/>
    <w:rsid w:val="0AEC2FE8"/>
    <w:rsid w:val="0B260413"/>
    <w:rsid w:val="0B9C06D5"/>
    <w:rsid w:val="0BB62E8D"/>
    <w:rsid w:val="0BC910AF"/>
    <w:rsid w:val="0C110567"/>
    <w:rsid w:val="0C397531"/>
    <w:rsid w:val="0C470E4F"/>
    <w:rsid w:val="0C812E6D"/>
    <w:rsid w:val="0C9E047D"/>
    <w:rsid w:val="0D733868"/>
    <w:rsid w:val="0D9546F5"/>
    <w:rsid w:val="0DD51C7C"/>
    <w:rsid w:val="0DD65942"/>
    <w:rsid w:val="0DEA753C"/>
    <w:rsid w:val="0DF57134"/>
    <w:rsid w:val="0E4A6F14"/>
    <w:rsid w:val="0E762255"/>
    <w:rsid w:val="0ED3362B"/>
    <w:rsid w:val="0EF50B08"/>
    <w:rsid w:val="0F672DA8"/>
    <w:rsid w:val="0F6D5043"/>
    <w:rsid w:val="0F723A91"/>
    <w:rsid w:val="10C37138"/>
    <w:rsid w:val="10E32902"/>
    <w:rsid w:val="1109680C"/>
    <w:rsid w:val="118934A9"/>
    <w:rsid w:val="11DF6823"/>
    <w:rsid w:val="121758CF"/>
    <w:rsid w:val="1282108C"/>
    <w:rsid w:val="12B55392"/>
    <w:rsid w:val="12D167AA"/>
    <w:rsid w:val="13021765"/>
    <w:rsid w:val="130D0D24"/>
    <w:rsid w:val="13826402"/>
    <w:rsid w:val="13A42136"/>
    <w:rsid w:val="14C710A8"/>
    <w:rsid w:val="14CD7B51"/>
    <w:rsid w:val="150B58AE"/>
    <w:rsid w:val="151A266A"/>
    <w:rsid w:val="160067D9"/>
    <w:rsid w:val="160846A5"/>
    <w:rsid w:val="16105F47"/>
    <w:rsid w:val="16161084"/>
    <w:rsid w:val="161A4308"/>
    <w:rsid w:val="163254BE"/>
    <w:rsid w:val="16D13B64"/>
    <w:rsid w:val="16E04FC6"/>
    <w:rsid w:val="17470EF1"/>
    <w:rsid w:val="1776514E"/>
    <w:rsid w:val="17CB192C"/>
    <w:rsid w:val="17FC2567"/>
    <w:rsid w:val="18356139"/>
    <w:rsid w:val="188B110E"/>
    <w:rsid w:val="18910936"/>
    <w:rsid w:val="18B03A11"/>
    <w:rsid w:val="18C221F9"/>
    <w:rsid w:val="18CD08A1"/>
    <w:rsid w:val="19014CAF"/>
    <w:rsid w:val="193D7353"/>
    <w:rsid w:val="197462BA"/>
    <w:rsid w:val="199F6F5F"/>
    <w:rsid w:val="19AE61A3"/>
    <w:rsid w:val="19F42E2C"/>
    <w:rsid w:val="1A28231A"/>
    <w:rsid w:val="1A4E237A"/>
    <w:rsid w:val="1B267FBB"/>
    <w:rsid w:val="1B4B7A22"/>
    <w:rsid w:val="1BBF1850"/>
    <w:rsid w:val="1C047A3E"/>
    <w:rsid w:val="1C1804EA"/>
    <w:rsid w:val="1C9A2F02"/>
    <w:rsid w:val="1CDB4C0A"/>
    <w:rsid w:val="1CE43C8A"/>
    <w:rsid w:val="1D745AA6"/>
    <w:rsid w:val="1E1A2095"/>
    <w:rsid w:val="1E2E78B2"/>
    <w:rsid w:val="1E3A680D"/>
    <w:rsid w:val="1E48054C"/>
    <w:rsid w:val="1E4C42FA"/>
    <w:rsid w:val="1EAC1325"/>
    <w:rsid w:val="1EE00915"/>
    <w:rsid w:val="1F4F5F36"/>
    <w:rsid w:val="1F606D74"/>
    <w:rsid w:val="1F833B28"/>
    <w:rsid w:val="20085EE1"/>
    <w:rsid w:val="205F59D0"/>
    <w:rsid w:val="20931D81"/>
    <w:rsid w:val="20C964AA"/>
    <w:rsid w:val="20CE6D52"/>
    <w:rsid w:val="20E24984"/>
    <w:rsid w:val="20EF2BFD"/>
    <w:rsid w:val="219805DB"/>
    <w:rsid w:val="21AE2EDA"/>
    <w:rsid w:val="21C3661B"/>
    <w:rsid w:val="224551CB"/>
    <w:rsid w:val="229C5AE9"/>
    <w:rsid w:val="233203DD"/>
    <w:rsid w:val="2342170A"/>
    <w:rsid w:val="234D23FA"/>
    <w:rsid w:val="246622C5"/>
    <w:rsid w:val="24A65CC9"/>
    <w:rsid w:val="25287183"/>
    <w:rsid w:val="25733DFD"/>
    <w:rsid w:val="25B957D2"/>
    <w:rsid w:val="25D60CFE"/>
    <w:rsid w:val="25FF1B34"/>
    <w:rsid w:val="260F1B38"/>
    <w:rsid w:val="261B4D32"/>
    <w:rsid w:val="2661459D"/>
    <w:rsid w:val="26777D2F"/>
    <w:rsid w:val="26A87F18"/>
    <w:rsid w:val="26FF2956"/>
    <w:rsid w:val="27021C82"/>
    <w:rsid w:val="271E1505"/>
    <w:rsid w:val="273F3B6A"/>
    <w:rsid w:val="274E0EEF"/>
    <w:rsid w:val="277407A3"/>
    <w:rsid w:val="279369D8"/>
    <w:rsid w:val="27D642D6"/>
    <w:rsid w:val="27FC2BB9"/>
    <w:rsid w:val="291805BC"/>
    <w:rsid w:val="2939100B"/>
    <w:rsid w:val="2944442E"/>
    <w:rsid w:val="297974EE"/>
    <w:rsid w:val="29B34A3B"/>
    <w:rsid w:val="2A8645D2"/>
    <w:rsid w:val="2AF479DB"/>
    <w:rsid w:val="2B017AE4"/>
    <w:rsid w:val="2B1C0A93"/>
    <w:rsid w:val="2B1E480B"/>
    <w:rsid w:val="2B4C75CA"/>
    <w:rsid w:val="2B5B780D"/>
    <w:rsid w:val="2B5C7135"/>
    <w:rsid w:val="2BD42BB5"/>
    <w:rsid w:val="2BE37795"/>
    <w:rsid w:val="2C7F5656"/>
    <w:rsid w:val="2CBF3DCB"/>
    <w:rsid w:val="2D0871C8"/>
    <w:rsid w:val="2D804734"/>
    <w:rsid w:val="2DC55411"/>
    <w:rsid w:val="2DFD2DFD"/>
    <w:rsid w:val="2E9B04A6"/>
    <w:rsid w:val="2EB56104"/>
    <w:rsid w:val="2F812C49"/>
    <w:rsid w:val="2F885129"/>
    <w:rsid w:val="2FA71273"/>
    <w:rsid w:val="2FC46822"/>
    <w:rsid w:val="2FCD67FF"/>
    <w:rsid w:val="303B772F"/>
    <w:rsid w:val="31696757"/>
    <w:rsid w:val="31DE1D58"/>
    <w:rsid w:val="321F68F6"/>
    <w:rsid w:val="32325BB0"/>
    <w:rsid w:val="32741B27"/>
    <w:rsid w:val="32B819E9"/>
    <w:rsid w:val="331210F9"/>
    <w:rsid w:val="33185FE3"/>
    <w:rsid w:val="331B468F"/>
    <w:rsid w:val="334F5FA3"/>
    <w:rsid w:val="335229B5"/>
    <w:rsid w:val="33B8055B"/>
    <w:rsid w:val="340824FC"/>
    <w:rsid w:val="34F46CC2"/>
    <w:rsid w:val="34F9242A"/>
    <w:rsid w:val="353A3B9A"/>
    <w:rsid w:val="353D648E"/>
    <w:rsid w:val="35584DBD"/>
    <w:rsid w:val="35653E9B"/>
    <w:rsid w:val="35834C4F"/>
    <w:rsid w:val="35B5220F"/>
    <w:rsid w:val="35F033B2"/>
    <w:rsid w:val="365F25F1"/>
    <w:rsid w:val="36633A19"/>
    <w:rsid w:val="367B459C"/>
    <w:rsid w:val="36B02E3E"/>
    <w:rsid w:val="36DE12F2"/>
    <w:rsid w:val="37871C5F"/>
    <w:rsid w:val="37DF5322"/>
    <w:rsid w:val="38C14F85"/>
    <w:rsid w:val="38D95C84"/>
    <w:rsid w:val="395152B1"/>
    <w:rsid w:val="39C173D5"/>
    <w:rsid w:val="39C7397A"/>
    <w:rsid w:val="39C922D2"/>
    <w:rsid w:val="39F17820"/>
    <w:rsid w:val="3A0E3D7F"/>
    <w:rsid w:val="3A1B148B"/>
    <w:rsid w:val="3A870243"/>
    <w:rsid w:val="3AC96BFA"/>
    <w:rsid w:val="3B0B0E31"/>
    <w:rsid w:val="3B90705F"/>
    <w:rsid w:val="3BA42B0A"/>
    <w:rsid w:val="3C5E1386"/>
    <w:rsid w:val="3C6A376B"/>
    <w:rsid w:val="3C9C7C85"/>
    <w:rsid w:val="3CAD3871"/>
    <w:rsid w:val="3CCD5A60"/>
    <w:rsid w:val="3D0E6612"/>
    <w:rsid w:val="3D794C69"/>
    <w:rsid w:val="3DB652AD"/>
    <w:rsid w:val="3E247F32"/>
    <w:rsid w:val="3E4459B8"/>
    <w:rsid w:val="3E9926CE"/>
    <w:rsid w:val="3EED0255"/>
    <w:rsid w:val="3F010273"/>
    <w:rsid w:val="3F177A97"/>
    <w:rsid w:val="3F4940F4"/>
    <w:rsid w:val="3F6658E6"/>
    <w:rsid w:val="3F6F6A24"/>
    <w:rsid w:val="3FD80FD4"/>
    <w:rsid w:val="3FF50ECF"/>
    <w:rsid w:val="40C9499F"/>
    <w:rsid w:val="40E57C57"/>
    <w:rsid w:val="40FE523C"/>
    <w:rsid w:val="410C5707"/>
    <w:rsid w:val="4283791D"/>
    <w:rsid w:val="428F4F96"/>
    <w:rsid w:val="42A539CE"/>
    <w:rsid w:val="42CC4813"/>
    <w:rsid w:val="434D4C01"/>
    <w:rsid w:val="435C04A2"/>
    <w:rsid w:val="43917E18"/>
    <w:rsid w:val="43E11412"/>
    <w:rsid w:val="43FC748C"/>
    <w:rsid w:val="440525B4"/>
    <w:rsid w:val="44093E52"/>
    <w:rsid w:val="441F5424"/>
    <w:rsid w:val="446F1C68"/>
    <w:rsid w:val="45264590"/>
    <w:rsid w:val="45961716"/>
    <w:rsid w:val="45A35BE1"/>
    <w:rsid w:val="45C50B85"/>
    <w:rsid w:val="460F14C8"/>
    <w:rsid w:val="46C61D41"/>
    <w:rsid w:val="47150D60"/>
    <w:rsid w:val="471748B1"/>
    <w:rsid w:val="476F4628"/>
    <w:rsid w:val="477E6B3A"/>
    <w:rsid w:val="47943CC6"/>
    <w:rsid w:val="47B42CE1"/>
    <w:rsid w:val="47BC3D9E"/>
    <w:rsid w:val="48053ACE"/>
    <w:rsid w:val="48147269"/>
    <w:rsid w:val="483D1D78"/>
    <w:rsid w:val="48517B76"/>
    <w:rsid w:val="487E765D"/>
    <w:rsid w:val="492522E2"/>
    <w:rsid w:val="49380D36"/>
    <w:rsid w:val="49CE695A"/>
    <w:rsid w:val="4A4F6337"/>
    <w:rsid w:val="4AE66BEE"/>
    <w:rsid w:val="4AF131EF"/>
    <w:rsid w:val="4AF40C8C"/>
    <w:rsid w:val="4B407715"/>
    <w:rsid w:val="4B4C301C"/>
    <w:rsid w:val="4B8868F2"/>
    <w:rsid w:val="4BA83F51"/>
    <w:rsid w:val="4BBB7216"/>
    <w:rsid w:val="4C6A7458"/>
    <w:rsid w:val="4C813C70"/>
    <w:rsid w:val="4CA236C3"/>
    <w:rsid w:val="4D096C71"/>
    <w:rsid w:val="4D950505"/>
    <w:rsid w:val="4DA154D9"/>
    <w:rsid w:val="4DAB7D28"/>
    <w:rsid w:val="4E12758F"/>
    <w:rsid w:val="4E33426F"/>
    <w:rsid w:val="4E8862BB"/>
    <w:rsid w:val="4F0155EE"/>
    <w:rsid w:val="4F452E71"/>
    <w:rsid w:val="4F5947DB"/>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5604E0"/>
    <w:rsid w:val="517448D5"/>
    <w:rsid w:val="518C7E71"/>
    <w:rsid w:val="51F103B2"/>
    <w:rsid w:val="520C50B4"/>
    <w:rsid w:val="521F0CE5"/>
    <w:rsid w:val="52FE01F4"/>
    <w:rsid w:val="53185506"/>
    <w:rsid w:val="54A24E32"/>
    <w:rsid w:val="561B7217"/>
    <w:rsid w:val="56ED52AB"/>
    <w:rsid w:val="56FD00CF"/>
    <w:rsid w:val="57027519"/>
    <w:rsid w:val="572629E8"/>
    <w:rsid w:val="575C092A"/>
    <w:rsid w:val="577E7095"/>
    <w:rsid w:val="578C2978"/>
    <w:rsid w:val="57A646D9"/>
    <w:rsid w:val="57DD1426"/>
    <w:rsid w:val="5877685D"/>
    <w:rsid w:val="589A1FD6"/>
    <w:rsid w:val="59360262"/>
    <w:rsid w:val="59975605"/>
    <w:rsid w:val="59AA78C5"/>
    <w:rsid w:val="59C3464B"/>
    <w:rsid w:val="59FD045D"/>
    <w:rsid w:val="5A177BA2"/>
    <w:rsid w:val="5A1F15C9"/>
    <w:rsid w:val="5A307F33"/>
    <w:rsid w:val="5A6F20DD"/>
    <w:rsid w:val="5B1C5C72"/>
    <w:rsid w:val="5B404577"/>
    <w:rsid w:val="5B73375B"/>
    <w:rsid w:val="5BDE576D"/>
    <w:rsid w:val="5C1E4010"/>
    <w:rsid w:val="5C7B120D"/>
    <w:rsid w:val="5C844822"/>
    <w:rsid w:val="5CBB16CF"/>
    <w:rsid w:val="5CC46711"/>
    <w:rsid w:val="5D0A091D"/>
    <w:rsid w:val="5D105DFA"/>
    <w:rsid w:val="5D2D075A"/>
    <w:rsid w:val="5D4930BA"/>
    <w:rsid w:val="5D770C37"/>
    <w:rsid w:val="5DF57F28"/>
    <w:rsid w:val="5E24773B"/>
    <w:rsid w:val="5E3B3C08"/>
    <w:rsid w:val="5EEA61D6"/>
    <w:rsid w:val="5EEC63F2"/>
    <w:rsid w:val="5EF01530"/>
    <w:rsid w:val="5FA041B9"/>
    <w:rsid w:val="5FBE4D46"/>
    <w:rsid w:val="608D62FB"/>
    <w:rsid w:val="60997EB4"/>
    <w:rsid w:val="611963CD"/>
    <w:rsid w:val="616E573B"/>
    <w:rsid w:val="62B92A90"/>
    <w:rsid w:val="62E34874"/>
    <w:rsid w:val="62E8147A"/>
    <w:rsid w:val="630B132E"/>
    <w:rsid w:val="634A321E"/>
    <w:rsid w:val="639062F6"/>
    <w:rsid w:val="63C06196"/>
    <w:rsid w:val="63DD0CDE"/>
    <w:rsid w:val="64147AC3"/>
    <w:rsid w:val="64201F2E"/>
    <w:rsid w:val="64312291"/>
    <w:rsid w:val="647B323D"/>
    <w:rsid w:val="649C3D0A"/>
    <w:rsid w:val="653B5642"/>
    <w:rsid w:val="654C28BC"/>
    <w:rsid w:val="65A840EC"/>
    <w:rsid w:val="65B92402"/>
    <w:rsid w:val="65F358C4"/>
    <w:rsid w:val="66884C53"/>
    <w:rsid w:val="67645183"/>
    <w:rsid w:val="679C60E3"/>
    <w:rsid w:val="683A590B"/>
    <w:rsid w:val="683A5F02"/>
    <w:rsid w:val="6845574B"/>
    <w:rsid w:val="685376AF"/>
    <w:rsid w:val="68F57755"/>
    <w:rsid w:val="695F47F3"/>
    <w:rsid w:val="696A6892"/>
    <w:rsid w:val="69CA7330"/>
    <w:rsid w:val="69F148BD"/>
    <w:rsid w:val="6A3B5FBD"/>
    <w:rsid w:val="6A497336"/>
    <w:rsid w:val="6A522481"/>
    <w:rsid w:val="6B3C6A30"/>
    <w:rsid w:val="6B8F25DF"/>
    <w:rsid w:val="6C7D4B2E"/>
    <w:rsid w:val="6CB06CB1"/>
    <w:rsid w:val="6CEB5ACA"/>
    <w:rsid w:val="6DBB3B60"/>
    <w:rsid w:val="6E2D7853"/>
    <w:rsid w:val="6E6C7C05"/>
    <w:rsid w:val="6F2B2544"/>
    <w:rsid w:val="6F4060E9"/>
    <w:rsid w:val="706B5A59"/>
    <w:rsid w:val="70A04FBC"/>
    <w:rsid w:val="70BD3D49"/>
    <w:rsid w:val="72041505"/>
    <w:rsid w:val="72317325"/>
    <w:rsid w:val="726E73F3"/>
    <w:rsid w:val="72872262"/>
    <w:rsid w:val="72A863A1"/>
    <w:rsid w:val="73403ED7"/>
    <w:rsid w:val="740946D6"/>
    <w:rsid w:val="740B2A1F"/>
    <w:rsid w:val="740D49E9"/>
    <w:rsid w:val="7420471D"/>
    <w:rsid w:val="74566E86"/>
    <w:rsid w:val="745A5137"/>
    <w:rsid w:val="7537728D"/>
    <w:rsid w:val="754B7177"/>
    <w:rsid w:val="75631CAE"/>
    <w:rsid w:val="757D16FB"/>
    <w:rsid w:val="75E11C8A"/>
    <w:rsid w:val="76440B72"/>
    <w:rsid w:val="76462308"/>
    <w:rsid w:val="772665FC"/>
    <w:rsid w:val="772B48E7"/>
    <w:rsid w:val="775F740B"/>
    <w:rsid w:val="77D575CC"/>
    <w:rsid w:val="77ED700C"/>
    <w:rsid w:val="785C7CED"/>
    <w:rsid w:val="78610694"/>
    <w:rsid w:val="788A13BF"/>
    <w:rsid w:val="78A377B2"/>
    <w:rsid w:val="79142DF6"/>
    <w:rsid w:val="793A002E"/>
    <w:rsid w:val="79404F19"/>
    <w:rsid w:val="797C2D3C"/>
    <w:rsid w:val="79E42D9A"/>
    <w:rsid w:val="7A314C2F"/>
    <w:rsid w:val="7A3727C0"/>
    <w:rsid w:val="7AAD7251"/>
    <w:rsid w:val="7ABC00E2"/>
    <w:rsid w:val="7B0074FE"/>
    <w:rsid w:val="7B061127"/>
    <w:rsid w:val="7B503B8C"/>
    <w:rsid w:val="7B556765"/>
    <w:rsid w:val="7B727157"/>
    <w:rsid w:val="7BDB223D"/>
    <w:rsid w:val="7C081A90"/>
    <w:rsid w:val="7C0B3F04"/>
    <w:rsid w:val="7C2571BC"/>
    <w:rsid w:val="7C4A219A"/>
    <w:rsid w:val="7C9E5DD3"/>
    <w:rsid w:val="7CA15039"/>
    <w:rsid w:val="7CD54AA1"/>
    <w:rsid w:val="7D240BEB"/>
    <w:rsid w:val="7D8D41BC"/>
    <w:rsid w:val="7E5E656D"/>
    <w:rsid w:val="7E6E42D6"/>
    <w:rsid w:val="7E894D3F"/>
    <w:rsid w:val="7EA146AC"/>
    <w:rsid w:val="7F563156"/>
    <w:rsid w:val="7F912972"/>
    <w:rsid w:val="7FB77AFD"/>
    <w:rsid w:val="7FFF78DC"/>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9"/>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31"/>
    <w:autoRedefine/>
    <w:unhideWhenUsed/>
    <w:qFormat/>
    <w:uiPriority w:val="9"/>
    <w:pPr>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32"/>
    <w:autoRedefine/>
    <w:unhideWhenUsed/>
    <w:qFormat/>
    <w:uiPriority w:val="9"/>
    <w:pPr>
      <w:numPr>
        <w:ilvl w:val="2"/>
      </w:numPr>
      <w:outlineLvl w:val="2"/>
    </w:pPr>
    <w:rPr>
      <w:sz w:val="32"/>
    </w:rPr>
  </w:style>
  <w:style w:type="paragraph" w:styleId="5">
    <w:name w:val="heading 4"/>
    <w:basedOn w:val="4"/>
    <w:next w:val="1"/>
    <w:link w:val="37"/>
    <w:autoRedefine/>
    <w:qFormat/>
    <w:uiPriority w:val="0"/>
    <w:pPr>
      <w:numPr>
        <w:ilvl w:val="3"/>
      </w:numPr>
      <w:spacing w:before="240" w:after="60"/>
      <w:jc w:val="left"/>
      <w:outlineLvl w:val="3"/>
    </w:pPr>
    <w:rPr>
      <w:rFonts w:ascii="Times New Roman" w:hAnsi="Times New Roman" w:eastAsia="MS Mincho" w:cs="Times New Roman"/>
      <w:sz w:val="28"/>
      <w:szCs w:val="28"/>
    </w:rPr>
  </w:style>
  <w:style w:type="paragraph" w:styleId="6">
    <w:name w:val="heading 5"/>
    <w:basedOn w:val="5"/>
    <w:next w:val="1"/>
    <w:link w:val="38"/>
    <w:autoRedefine/>
    <w:qFormat/>
    <w:uiPriority w:val="0"/>
    <w:pPr>
      <w:numPr>
        <w:ilvl w:val="4"/>
      </w:numPr>
      <w:spacing w:before="280" w:after="290" w:line="376" w:lineRule="auto"/>
      <w:outlineLvl w:val="4"/>
    </w:pPr>
    <w:rPr>
      <w:rFonts w:eastAsia="Times New Roman"/>
    </w:rPr>
  </w:style>
  <w:style w:type="paragraph" w:styleId="7">
    <w:name w:val="heading 6"/>
    <w:basedOn w:val="1"/>
    <w:next w:val="1"/>
    <w:link w:val="39"/>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40"/>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41"/>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2"/>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4"/>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8"/>
    <w:autoRedefine/>
    <w:semiHidden/>
    <w:unhideWhenUsed/>
    <w:qFormat/>
    <w:uiPriority w:val="99"/>
    <w:pPr>
      <w:jc w:val="left"/>
    </w:pPr>
  </w:style>
  <w:style w:type="paragraph" w:styleId="13">
    <w:name w:val="Body Text"/>
    <w:basedOn w:val="1"/>
    <w:link w:val="25"/>
    <w:autoRedefine/>
    <w:qFormat/>
    <w:uiPriority w:val="0"/>
    <w:pPr>
      <w:adjustRightInd w:val="0"/>
      <w:snapToGrid w:val="0"/>
      <w:spacing w:line="360" w:lineRule="auto"/>
      <w:ind w:firstLine="420"/>
    </w:pPr>
    <w:rPr>
      <w:rFonts w:eastAsia="楷体"/>
      <w:snapToGrid w:val="0"/>
    </w:rPr>
  </w:style>
  <w:style w:type="paragraph" w:styleId="14">
    <w:name w:val="Balloon Text"/>
    <w:basedOn w:val="1"/>
    <w:link w:val="50"/>
    <w:autoRedefine/>
    <w:semiHidden/>
    <w:unhideWhenUsed/>
    <w:qFormat/>
    <w:uiPriority w:val="99"/>
    <w:rPr>
      <w:sz w:val="18"/>
      <w:szCs w:val="18"/>
    </w:rPr>
  </w:style>
  <w:style w:type="paragraph" w:styleId="15">
    <w:name w:val="footer"/>
    <w:basedOn w:val="1"/>
    <w:link w:val="47"/>
    <w:autoRedefine/>
    <w:unhideWhenUsed/>
    <w:qFormat/>
    <w:uiPriority w:val="99"/>
    <w:pPr>
      <w:tabs>
        <w:tab w:val="center" w:pos="4153"/>
        <w:tab w:val="right" w:pos="8306"/>
      </w:tabs>
      <w:snapToGrid w:val="0"/>
      <w:jc w:val="left"/>
    </w:pPr>
    <w:rPr>
      <w:sz w:val="18"/>
      <w:szCs w:val="18"/>
    </w:rPr>
  </w:style>
  <w:style w:type="paragraph" w:styleId="16">
    <w:name w:val="header"/>
    <w:basedOn w:val="1"/>
    <w:link w:val="4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19">
    <w:name w:val="annotation subject"/>
    <w:basedOn w:val="12"/>
    <w:next w:val="12"/>
    <w:link w:val="49"/>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qFormat/>
    <w:uiPriority w:val="0"/>
    <w:rPr>
      <w:color w:val="800080"/>
      <w:u w:val="single"/>
    </w:rPr>
  </w:style>
  <w:style w:type="character" w:styleId="24">
    <w:name w:val="Hyperlink"/>
    <w:basedOn w:val="25"/>
    <w:qFormat/>
    <w:uiPriority w:val="0"/>
    <w:rPr>
      <w:rFonts w:eastAsia="楷体"/>
      <w:snapToGrid w:val="0"/>
      <w:color w:val="5B9BD5" w:themeColor="accent1"/>
      <w14:textFill>
        <w14:solidFill>
          <w14:schemeClr w14:val="accent1"/>
        </w14:solidFill>
      </w14:textFill>
    </w:rPr>
  </w:style>
  <w:style w:type="character" w:customStyle="1" w:styleId="25">
    <w:name w:val="正文文本 字符"/>
    <w:basedOn w:val="22"/>
    <w:link w:val="13"/>
    <w:qFormat/>
    <w:uiPriority w:val="0"/>
    <w:rPr>
      <w:rFonts w:eastAsia="楷体"/>
      <w:snapToGrid w:val="0"/>
    </w:rPr>
  </w:style>
  <w:style w:type="character" w:styleId="26">
    <w:name w:val="annotation reference"/>
    <w:basedOn w:val="22"/>
    <w:autoRedefine/>
    <w:unhideWhenUsed/>
    <w:qFormat/>
    <w:uiPriority w:val="99"/>
    <w:rPr>
      <w:sz w:val="16"/>
      <w:szCs w:val="16"/>
    </w:rPr>
  </w:style>
  <w:style w:type="paragraph" w:customStyle="1" w:styleId="27">
    <w:name w:val="Doc-title"/>
    <w:basedOn w:val="1"/>
    <w:next w:val="28"/>
    <w:autoRedefine/>
    <w:qFormat/>
    <w:uiPriority w:val="0"/>
    <w:pPr>
      <w:spacing w:before="60"/>
      <w:ind w:left="1259" w:hanging="1259"/>
    </w:pPr>
  </w:style>
  <w:style w:type="paragraph" w:customStyle="1" w:styleId="28">
    <w:name w:val="Doc-text2"/>
    <w:basedOn w:val="1"/>
    <w:autoRedefine/>
    <w:qFormat/>
    <w:uiPriority w:val="0"/>
    <w:pPr>
      <w:tabs>
        <w:tab w:val="left" w:pos="1622"/>
      </w:tabs>
      <w:ind w:left="1622" w:hanging="363"/>
    </w:pPr>
  </w:style>
  <w:style w:type="character" w:customStyle="1" w:styleId="29">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30">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1">
    <w:name w:val="标题 2 字符"/>
    <w:basedOn w:val="22"/>
    <w:link w:val="3"/>
    <w:autoRedefine/>
    <w:qFormat/>
    <w:uiPriority w:val="9"/>
    <w:rPr>
      <w:rFonts w:eastAsia="Times New Roman" w:asciiTheme="majorHAnsi" w:hAnsiTheme="majorHAnsi" w:cstheme="majorBidi"/>
      <w:b/>
      <w:bCs/>
      <w:sz w:val="18"/>
      <w:szCs w:val="32"/>
    </w:rPr>
  </w:style>
  <w:style w:type="character" w:customStyle="1" w:styleId="32">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3">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4">
    <w:name w:val="题注 字符"/>
    <w:link w:val="11"/>
    <w:autoRedefine/>
    <w:qFormat/>
    <w:locked/>
    <w:uiPriority w:val="35"/>
    <w:rPr>
      <w:rFonts w:ascii="Times New Roman" w:hAnsi="Times New Roman" w:eastAsia="Times New Roman" w:cs="Times New Roman"/>
      <w:b/>
      <w:bCs/>
      <w:kern w:val="0"/>
      <w:sz w:val="24"/>
      <w:szCs w:val="24"/>
      <w:lang w:eastAsia="en-US"/>
    </w:rPr>
  </w:style>
  <w:style w:type="paragraph" w:styleId="35">
    <w:name w:val="List Paragraph"/>
    <w:basedOn w:val="1"/>
    <w:link w:val="36"/>
    <w:autoRedefine/>
    <w:qFormat/>
    <w:uiPriority w:val="34"/>
    <w:pPr>
      <w:widowControl/>
      <w:ind w:left="720"/>
      <w:jc w:val="left"/>
    </w:pPr>
    <w:rPr>
      <w:rFonts w:ascii="Calibri" w:hAnsi="Calibri" w:eastAsia="Calibri" w:cs="Times New Roman"/>
      <w:kern w:val="0"/>
      <w:sz w:val="22"/>
      <w:lang w:eastAsia="en-US"/>
    </w:rPr>
  </w:style>
  <w:style w:type="character" w:customStyle="1" w:styleId="36">
    <w:name w:val="列表段落 字符"/>
    <w:link w:val="35"/>
    <w:autoRedefine/>
    <w:qFormat/>
    <w:locked/>
    <w:uiPriority w:val="34"/>
    <w:rPr>
      <w:rFonts w:ascii="Calibri" w:hAnsi="Calibri" w:eastAsia="Calibri" w:cs="Times New Roman"/>
      <w:kern w:val="0"/>
      <w:sz w:val="22"/>
      <w:lang w:eastAsia="en-US"/>
    </w:rPr>
  </w:style>
  <w:style w:type="character" w:customStyle="1" w:styleId="37">
    <w:name w:val="标题 4 字符"/>
    <w:basedOn w:val="22"/>
    <w:link w:val="5"/>
    <w:autoRedefine/>
    <w:qFormat/>
    <w:uiPriority w:val="0"/>
    <w:rPr>
      <w:rFonts w:ascii="Times New Roman" w:hAnsi="Times New Roman" w:eastAsia="MS Mincho" w:cs="Times New Roman"/>
      <w:b/>
      <w:bCs/>
      <w:kern w:val="0"/>
      <w:sz w:val="28"/>
      <w:szCs w:val="28"/>
      <w:lang w:eastAsia="en-US"/>
    </w:rPr>
  </w:style>
  <w:style w:type="character" w:customStyle="1" w:styleId="38">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39">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40">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41">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2">
    <w:name w:val="标题 9 字符"/>
    <w:basedOn w:val="22"/>
    <w:link w:val="10"/>
    <w:autoRedefine/>
    <w:qFormat/>
    <w:uiPriority w:val="0"/>
    <w:rPr>
      <w:rFonts w:ascii="Arial" w:hAnsi="Arial" w:eastAsia="黑体" w:cs="Times New Roman"/>
      <w:kern w:val="0"/>
      <w:szCs w:val="21"/>
      <w:lang w:eastAsia="en-US"/>
    </w:rPr>
  </w:style>
  <w:style w:type="paragraph" w:customStyle="1" w:styleId="43">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4">
    <w:name w:val="B1"/>
    <w:basedOn w:val="17"/>
    <w:autoRedefine/>
    <w:qFormat/>
    <w:uiPriority w:val="0"/>
  </w:style>
  <w:style w:type="paragraph" w:customStyle="1" w:styleId="45">
    <w:name w:val="NO"/>
    <w:basedOn w:val="1"/>
    <w:autoRedefine/>
    <w:qFormat/>
    <w:uiPriority w:val="0"/>
    <w:pPr>
      <w:keepLines/>
      <w:ind w:left="1135" w:hanging="851"/>
    </w:pPr>
  </w:style>
  <w:style w:type="character" w:customStyle="1" w:styleId="46">
    <w:name w:val="页眉 字符"/>
    <w:basedOn w:val="22"/>
    <w:link w:val="16"/>
    <w:autoRedefine/>
    <w:qFormat/>
    <w:uiPriority w:val="99"/>
    <w:rPr>
      <w:rFonts w:asciiTheme="minorHAnsi" w:hAnsiTheme="minorHAnsi" w:eastAsiaTheme="minorEastAsia" w:cstheme="minorBidi"/>
      <w:kern w:val="2"/>
      <w:sz w:val="18"/>
      <w:szCs w:val="18"/>
    </w:rPr>
  </w:style>
  <w:style w:type="character" w:customStyle="1" w:styleId="47">
    <w:name w:val="页脚 字符"/>
    <w:basedOn w:val="22"/>
    <w:link w:val="15"/>
    <w:autoRedefine/>
    <w:qFormat/>
    <w:uiPriority w:val="99"/>
    <w:rPr>
      <w:rFonts w:asciiTheme="minorHAnsi" w:hAnsiTheme="minorHAnsi" w:eastAsiaTheme="minorEastAsia" w:cstheme="minorBidi"/>
      <w:kern w:val="2"/>
      <w:sz w:val="18"/>
      <w:szCs w:val="18"/>
    </w:rPr>
  </w:style>
  <w:style w:type="character" w:customStyle="1" w:styleId="48">
    <w:name w:val="批注文字 字符"/>
    <w:basedOn w:val="22"/>
    <w:link w:val="12"/>
    <w:autoRedefine/>
    <w:semiHidden/>
    <w:qFormat/>
    <w:uiPriority w:val="99"/>
    <w:rPr>
      <w:rFonts w:asciiTheme="minorHAnsi" w:hAnsiTheme="minorHAnsi" w:eastAsiaTheme="minorEastAsia" w:cstheme="minorBidi"/>
      <w:kern w:val="2"/>
      <w:sz w:val="21"/>
      <w:szCs w:val="22"/>
    </w:rPr>
  </w:style>
  <w:style w:type="character" w:customStyle="1" w:styleId="49">
    <w:name w:val="批注主题 字符"/>
    <w:basedOn w:val="48"/>
    <w:link w:val="19"/>
    <w:autoRedefine/>
    <w:semiHidden/>
    <w:qFormat/>
    <w:uiPriority w:val="99"/>
    <w:rPr>
      <w:rFonts w:asciiTheme="minorHAnsi" w:hAnsiTheme="minorHAnsi" w:eastAsiaTheme="minorEastAsia" w:cstheme="minorBidi"/>
      <w:b/>
      <w:bCs/>
      <w:kern w:val="2"/>
      <w:sz w:val="21"/>
      <w:szCs w:val="22"/>
    </w:rPr>
  </w:style>
  <w:style w:type="character" w:customStyle="1" w:styleId="50">
    <w:name w:val="批注框文本 字符"/>
    <w:basedOn w:val="22"/>
    <w:link w:val="14"/>
    <w:autoRedefine/>
    <w:semiHidden/>
    <w:qFormat/>
    <w:uiPriority w:val="99"/>
    <w:rPr>
      <w:rFonts w:asciiTheme="minorHAnsi" w:hAnsiTheme="minorHAnsi" w:eastAsiaTheme="minorEastAsia" w:cstheme="minorBidi"/>
      <w:kern w:val="2"/>
      <w:sz w:val="18"/>
      <w:szCs w:val="18"/>
    </w:rPr>
  </w:style>
  <w:style w:type="paragraph" w:customStyle="1" w:styleId="51">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2">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3">
    <w:name w:val="Comments"/>
    <w:basedOn w:val="1"/>
    <w:autoRedefine/>
    <w:qFormat/>
    <w:uiPriority w:val="0"/>
    <w:rPr>
      <w:i/>
      <w:sz w:val="18"/>
    </w:rPr>
  </w:style>
  <w:style w:type="paragraph" w:customStyle="1" w:styleId="54">
    <w:name w:val="B2"/>
    <w:basedOn w:val="1"/>
    <w:autoRedefine/>
    <w:qFormat/>
    <w:uiPriority w:val="0"/>
    <w:pPr>
      <w:ind w:left="851" w:hanging="284"/>
    </w:pPr>
  </w:style>
  <w:style w:type="paragraph" w:customStyle="1" w:styleId="55">
    <w:name w:val="B3"/>
    <w:basedOn w:val="1"/>
    <w:autoRedefine/>
    <w:qFormat/>
    <w:uiPriority w:val="0"/>
    <w:pPr>
      <w:ind w:left="1135" w:hanging="284"/>
    </w:pPr>
  </w:style>
  <w:style w:type="paragraph" w:customStyle="1" w:styleId="56">
    <w:name w:val="Agreement"/>
    <w:basedOn w:val="1"/>
    <w:next w:val="28"/>
    <w:autoRedefine/>
    <w:qFormat/>
    <w:uiPriority w:val="99"/>
    <w:pPr>
      <w:numPr>
        <w:ilvl w:val="0"/>
        <w:numId w:val="2"/>
      </w:numPr>
      <w:tabs>
        <w:tab w:val="left" w:pos="1619"/>
        <w:tab w:val="clear" w:pos="2039"/>
      </w:tabs>
      <w:spacing w:before="60"/>
    </w:pPr>
    <w:rPr>
      <w:b/>
    </w:rPr>
  </w:style>
  <w:style w:type="paragraph" w:customStyle="1" w:styleId="57">
    <w:name w:val="First Paragraph"/>
    <w:basedOn w:val="13"/>
    <w:next w:val="13"/>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package" Target="embeddings/Microsoft_Visio___1.vsdx"/><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2243</Words>
  <Characters>12814</Characters>
  <Lines>114</Lines>
  <Paragraphs>32</Paragraphs>
  <TotalTime>4</TotalTime>
  <ScaleCrop>false</ScaleCrop>
  <LinksUpToDate>false</LinksUpToDate>
  <CharactersWithSpaces>15057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2025-10-03T01:21:24Z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3396AA75F1DB474A8F22F1E69563B4E1_13</vt:lpwstr>
  </property>
  <property fmtid="{D5CDD505-2E9C-101B-9397-08002B2CF9AE}" pid="4" name="KSOTemplateDocerSaveRecord">
    <vt:lpwstr>eyJoZGlkIjoiYTZkZWNlYTA0MDg2ZTc3NmRlNDJmOGU5YjFkMTIzYmYiLCJ1c2VySWQiOiI1MDMzMTQ0MjYifQ==</vt:lpwstr>
  </property>
</Properties>
</file>